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2"/>
        <w:spacing w:before="120" w:beforeLines="50" w:line="360" w:lineRule="auto"/>
        <w:rPr>
          <w:b/>
          <w:bCs/>
          <w:color w:val="auto"/>
          <w:sz w:val="40"/>
          <w:szCs w:val="40"/>
          <w:highlight w:val="none"/>
        </w:rPr>
      </w:pPr>
      <w:bookmarkStart w:id="0" w:name="_Toc5725"/>
      <w:bookmarkStart w:id="1" w:name="_Toc578"/>
      <w:bookmarkStart w:id="2" w:name="_Toc6478"/>
      <w:r>
        <w:rPr>
          <w:rFonts w:hint="eastAsia"/>
          <w:b/>
          <w:bCs/>
          <w:color w:val="auto"/>
          <w:sz w:val="40"/>
          <w:szCs w:val="40"/>
          <w:highlight w:val="none"/>
        </w:rPr>
        <w:t xml:space="preserve">项目编号：510  </w:t>
      </w:r>
    </w:p>
    <w:p>
      <w:pPr>
        <w:pStyle w:val="42"/>
        <w:spacing w:line="360" w:lineRule="auto"/>
        <w:rPr>
          <w:b/>
          <w:bCs/>
          <w:color w:val="auto"/>
          <w:sz w:val="40"/>
          <w:szCs w:val="40"/>
          <w:highlight w:val="none"/>
        </w:rPr>
      </w:pPr>
      <w:r>
        <w:rPr>
          <w:rFonts w:hint="eastAsia"/>
          <w:b/>
          <w:bCs/>
          <w:color w:val="auto"/>
          <w:sz w:val="40"/>
          <w:szCs w:val="40"/>
          <w:highlight w:val="none"/>
        </w:rPr>
        <w:t>内部编号：ZCQXZB-2021-0XXB</w:t>
      </w:r>
    </w:p>
    <w:p>
      <w:pPr>
        <w:pStyle w:val="42"/>
        <w:spacing w:line="360" w:lineRule="auto"/>
        <w:rPr>
          <w:b/>
          <w:bCs/>
          <w:color w:val="auto"/>
          <w:sz w:val="40"/>
          <w:szCs w:val="40"/>
          <w:highlight w:val="none"/>
        </w:rPr>
      </w:pPr>
      <w:r>
        <w:rPr>
          <w:rFonts w:hint="eastAsia"/>
          <w:b/>
          <w:bCs/>
          <w:color w:val="auto"/>
          <w:sz w:val="40"/>
          <w:szCs w:val="40"/>
          <w:highlight w:val="none"/>
        </w:rPr>
        <w:t xml:space="preserve">项目名称：成都市技师学院人才联合培养实训室采购项目 </w:t>
      </w:r>
    </w:p>
    <w:p>
      <w:pPr>
        <w:pStyle w:val="42"/>
        <w:wordWrap w:val="0"/>
        <w:topLinePunct/>
        <w:spacing w:before="3120" w:beforeLines="1300" w:after="3120" w:afterLines="1300" w:line="240" w:lineRule="auto"/>
        <w:jc w:val="center"/>
        <w:rPr>
          <w:b/>
          <w:bCs/>
          <w:color w:val="auto"/>
          <w:sz w:val="96"/>
          <w:szCs w:val="96"/>
          <w:highlight w:val="none"/>
        </w:rPr>
      </w:pPr>
      <w:r>
        <w:rPr>
          <w:rFonts w:hint="eastAsia"/>
          <w:b/>
          <w:bCs/>
          <w:color w:val="auto"/>
          <w:sz w:val="96"/>
          <w:szCs w:val="96"/>
          <w:highlight w:val="none"/>
        </w:rPr>
        <w:t>招标文件</w:t>
      </w:r>
    </w:p>
    <w:p>
      <w:pPr>
        <w:pStyle w:val="42"/>
        <w:spacing w:line="360" w:lineRule="auto"/>
        <w:jc w:val="center"/>
        <w:rPr>
          <w:b/>
          <w:bCs/>
          <w:color w:val="auto"/>
          <w:sz w:val="28"/>
          <w:szCs w:val="28"/>
          <w:highlight w:val="none"/>
        </w:rPr>
      </w:pPr>
      <w:r>
        <w:rPr>
          <w:rFonts w:hint="eastAsia"/>
          <w:b/>
          <w:bCs/>
          <w:color w:val="auto"/>
          <w:sz w:val="28"/>
          <w:szCs w:val="28"/>
          <w:highlight w:val="none"/>
        </w:rPr>
        <w:t>中国·四川</w:t>
      </w:r>
    </w:p>
    <w:p>
      <w:pPr>
        <w:pStyle w:val="42"/>
        <w:spacing w:line="360" w:lineRule="auto"/>
        <w:ind w:left="2400" w:leftChars="1000"/>
        <w:rPr>
          <w:b/>
          <w:bCs/>
          <w:color w:val="auto"/>
          <w:sz w:val="28"/>
          <w:szCs w:val="28"/>
          <w:highlight w:val="none"/>
        </w:rPr>
      </w:pPr>
      <w:r>
        <w:rPr>
          <w:rFonts w:hint="eastAsia"/>
          <w:b/>
          <w:bCs/>
          <w:color w:val="auto"/>
          <w:sz w:val="28"/>
          <w:szCs w:val="28"/>
          <w:highlight w:val="none"/>
        </w:rPr>
        <w:t xml:space="preserve">采   购   人：成都市技师学院         </w:t>
      </w:r>
    </w:p>
    <w:p>
      <w:pPr>
        <w:pStyle w:val="42"/>
        <w:spacing w:line="360" w:lineRule="auto"/>
        <w:ind w:left="2400" w:leftChars="1000"/>
        <w:rPr>
          <w:b/>
          <w:bCs/>
          <w:color w:val="auto"/>
          <w:sz w:val="28"/>
          <w:szCs w:val="28"/>
          <w:highlight w:val="none"/>
        </w:rPr>
      </w:pPr>
      <w:r>
        <w:rPr>
          <w:rFonts w:hint="eastAsia"/>
          <w:b/>
          <w:bCs/>
          <w:color w:val="auto"/>
          <w:sz w:val="28"/>
          <w:szCs w:val="28"/>
          <w:highlight w:val="none"/>
        </w:rPr>
        <w:t>采购代理机构：四川乾新招投标代理有限公司</w:t>
      </w:r>
    </w:p>
    <w:p>
      <w:pPr>
        <w:pStyle w:val="42"/>
        <w:spacing w:line="360" w:lineRule="auto"/>
        <w:ind w:left="2400" w:leftChars="1000"/>
        <w:rPr>
          <w:b/>
          <w:bCs/>
          <w:color w:val="auto"/>
          <w:sz w:val="28"/>
          <w:szCs w:val="28"/>
          <w:highlight w:val="none"/>
        </w:rPr>
      </w:pPr>
      <w:r>
        <w:rPr>
          <w:rFonts w:hint="eastAsia"/>
          <w:b/>
          <w:bCs/>
          <w:color w:val="auto"/>
          <w:sz w:val="28"/>
          <w:szCs w:val="28"/>
          <w:highlight w:val="none"/>
        </w:rPr>
        <w:t>文  件 编 制：由采购人和采购代理机构共同编制</w:t>
      </w:r>
    </w:p>
    <w:p>
      <w:pPr>
        <w:pStyle w:val="42"/>
        <w:spacing w:line="360" w:lineRule="auto"/>
        <w:jc w:val="center"/>
        <w:rPr>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color w:val="auto"/>
          <w:sz w:val="28"/>
          <w:szCs w:val="28"/>
          <w:highlight w:val="none"/>
        </w:rPr>
        <w:t>2021年10月</w:t>
      </w:r>
    </w:p>
    <w:p>
      <w:pPr>
        <w:pStyle w:val="42"/>
        <w:spacing w:line="240" w:lineRule="auto"/>
        <w:jc w:val="center"/>
        <w:rPr>
          <w:b/>
          <w:bCs/>
          <w:color w:val="auto"/>
          <w:sz w:val="40"/>
          <w:szCs w:val="40"/>
          <w:highlight w:val="none"/>
        </w:rPr>
      </w:pPr>
      <w:bookmarkStart w:id="3" w:name="_Toc452473646"/>
      <w:bookmarkStart w:id="4" w:name="_Toc502651262"/>
      <w:bookmarkStart w:id="5" w:name="_Toc336690878"/>
      <w:bookmarkStart w:id="6" w:name="_Toc372620750"/>
      <w:bookmarkStart w:id="7" w:name="_Toc373139265"/>
      <w:bookmarkStart w:id="8" w:name="_Toc371958974"/>
      <w:r>
        <w:rPr>
          <w:rFonts w:hint="eastAsia"/>
          <w:b/>
          <w:bCs/>
          <w:color w:val="auto"/>
          <w:sz w:val="40"/>
          <w:szCs w:val="40"/>
          <w:highlight w:val="none"/>
        </w:rPr>
        <w:t>政府采购阳光宣言</w:t>
      </w:r>
      <w:bookmarkEnd w:id="3"/>
      <w:bookmarkEnd w:id="4"/>
    </w:p>
    <w:p>
      <w:pPr>
        <w:pStyle w:val="42"/>
        <w:ind w:firstLine="480" w:firstLineChars="200"/>
        <w:rPr>
          <w:color w:val="auto"/>
          <w:highlight w:val="none"/>
        </w:rPr>
      </w:pPr>
      <w:r>
        <w:rPr>
          <w:rFonts w:hint="eastAsia"/>
          <w:color w:val="auto"/>
          <w:highlight w:val="none"/>
        </w:rPr>
        <w:t>四川乾新践行公平竞争、诚信的核心价值观，诚信于股东、诚信于服务对象、诚信于员工、诚信于社会。</w:t>
      </w:r>
    </w:p>
    <w:p>
      <w:pPr>
        <w:pStyle w:val="42"/>
        <w:ind w:firstLine="480" w:firstLineChars="200"/>
        <w:rPr>
          <w:color w:val="auto"/>
          <w:highlight w:val="none"/>
        </w:rPr>
      </w:pPr>
      <w:r>
        <w:rPr>
          <w:rFonts w:hint="eastAsia"/>
          <w:color w:val="auto"/>
          <w:highlight w:val="none"/>
        </w:rPr>
        <w:t>四川乾新全体员工严格遵守《乾新十戒》和《员工廉洁从业规定》，遵纪守法，强化自律，廉洁从业，规范经营。</w:t>
      </w:r>
    </w:p>
    <w:p>
      <w:pPr>
        <w:pStyle w:val="42"/>
        <w:ind w:firstLine="480" w:firstLineChars="200"/>
        <w:rPr>
          <w:color w:val="auto"/>
          <w:highlight w:val="none"/>
        </w:rPr>
      </w:pPr>
      <w:r>
        <w:rPr>
          <w:rFonts w:hint="eastAsia"/>
          <w:color w:val="auto"/>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2"/>
        <w:ind w:firstLine="480" w:firstLineChars="200"/>
        <w:rPr>
          <w:color w:val="auto"/>
          <w:highlight w:val="none"/>
        </w:rPr>
      </w:pPr>
      <w:r>
        <w:rPr>
          <w:rFonts w:hint="eastAsia"/>
          <w:color w:val="auto"/>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3"/>
        <w:ind w:firstLine="480"/>
        <w:rPr>
          <w:color w:val="auto"/>
          <w:highlight w:val="none"/>
        </w:rPr>
      </w:pPr>
      <w:r>
        <w:rPr>
          <w:rFonts w:hint="eastAsia"/>
          <w:color w:val="auto"/>
          <w:highlight w:val="none"/>
        </w:rPr>
        <w:t>四川乾新不以向采购人及其亲属提供任何个人利益的方式谋求合作关系；</w:t>
      </w:r>
    </w:p>
    <w:p>
      <w:pPr>
        <w:pStyle w:val="43"/>
        <w:ind w:firstLine="480"/>
        <w:rPr>
          <w:color w:val="auto"/>
          <w:highlight w:val="none"/>
        </w:rPr>
      </w:pPr>
      <w:r>
        <w:rPr>
          <w:rFonts w:hint="eastAsia"/>
          <w:color w:val="auto"/>
          <w:highlight w:val="none"/>
        </w:rPr>
        <w:t xml:space="preserve">四川乾新不迷信任何实际存在的或虚构的所谓关系； </w:t>
      </w:r>
    </w:p>
    <w:p>
      <w:pPr>
        <w:pStyle w:val="43"/>
        <w:ind w:firstLine="480"/>
        <w:rPr>
          <w:color w:val="auto"/>
          <w:highlight w:val="none"/>
        </w:rPr>
      </w:pPr>
      <w:r>
        <w:rPr>
          <w:rFonts w:hint="eastAsia"/>
          <w:color w:val="auto"/>
          <w:highlight w:val="none"/>
        </w:rPr>
        <w:t>四川乾新不采取恶性竞争等不正当手段竞争业务；</w:t>
      </w:r>
    </w:p>
    <w:p>
      <w:pPr>
        <w:pStyle w:val="43"/>
        <w:ind w:firstLine="480"/>
        <w:rPr>
          <w:color w:val="auto"/>
          <w:highlight w:val="none"/>
        </w:rPr>
      </w:pPr>
      <w:r>
        <w:rPr>
          <w:rFonts w:hint="eastAsia"/>
          <w:color w:val="auto"/>
          <w:highlight w:val="none"/>
        </w:rPr>
        <w:t>四川乾新不向采购人提供好处费、回扣、现金及有价证券、支付凭证、贵重礼物；</w:t>
      </w:r>
    </w:p>
    <w:p>
      <w:pPr>
        <w:pStyle w:val="43"/>
        <w:ind w:firstLine="480"/>
        <w:rPr>
          <w:color w:val="auto"/>
          <w:highlight w:val="none"/>
        </w:rPr>
      </w:pPr>
      <w:r>
        <w:rPr>
          <w:rFonts w:hint="eastAsia"/>
          <w:color w:val="auto"/>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3"/>
        <w:ind w:firstLine="480"/>
        <w:rPr>
          <w:color w:val="auto"/>
          <w:highlight w:val="none"/>
        </w:rPr>
      </w:pPr>
      <w:r>
        <w:rPr>
          <w:rFonts w:hint="eastAsia"/>
          <w:color w:val="auto"/>
          <w:highlight w:val="none"/>
        </w:rPr>
        <w:t>供应商在参与项目时公平竞争，充分发挥市场主体作用，降低采购成本，节约采购资金；</w:t>
      </w:r>
    </w:p>
    <w:p>
      <w:pPr>
        <w:pStyle w:val="43"/>
        <w:ind w:firstLine="480"/>
        <w:rPr>
          <w:color w:val="auto"/>
          <w:highlight w:val="none"/>
        </w:rPr>
      </w:pPr>
      <w:r>
        <w:rPr>
          <w:rFonts w:hint="eastAsia"/>
          <w:color w:val="auto"/>
          <w:highlight w:val="none"/>
        </w:rPr>
        <w:t>四川乾新不与采购人、供应商串通投标；</w:t>
      </w:r>
    </w:p>
    <w:p>
      <w:pPr>
        <w:pStyle w:val="43"/>
        <w:ind w:firstLine="480"/>
        <w:rPr>
          <w:color w:val="auto"/>
          <w:highlight w:val="none"/>
        </w:rPr>
      </w:pPr>
      <w:r>
        <w:rPr>
          <w:rFonts w:hint="eastAsia"/>
          <w:color w:val="auto"/>
          <w:highlight w:val="none"/>
        </w:rPr>
        <w:t>四川乾新、采购人不与供应商就标底、其他单位的投标书等商业秘密及合同中的质量、价格、验收等条款进行私下商谈或者达成默契；</w:t>
      </w:r>
    </w:p>
    <w:p>
      <w:pPr>
        <w:pStyle w:val="43"/>
        <w:ind w:firstLine="480"/>
        <w:rPr>
          <w:color w:val="auto"/>
          <w:highlight w:val="none"/>
        </w:rPr>
      </w:pPr>
      <w:r>
        <w:rPr>
          <w:rFonts w:hint="eastAsia"/>
          <w:color w:val="auto"/>
          <w:highlight w:val="none"/>
        </w:rPr>
        <w:t>四川乾新坚决杜绝以下行为：①乾新员工有行贿倾向、建议等行为；②乾新员工有索贿、受贿等行为。</w:t>
      </w:r>
    </w:p>
    <w:p>
      <w:pPr>
        <w:pStyle w:val="42"/>
        <w:ind w:firstLine="480" w:firstLineChars="200"/>
        <w:rPr>
          <w:color w:val="auto"/>
          <w:highlight w:val="none"/>
        </w:rPr>
      </w:pPr>
      <w:r>
        <w:rPr>
          <w:rFonts w:hint="eastAsia"/>
          <w:color w:val="auto"/>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公开、公平、公正、诚实信用、讲求绩效的政采营商环境，共同推动政府采购行业健康发展。 </w:t>
      </w:r>
    </w:p>
    <w:p>
      <w:pPr>
        <w:pStyle w:val="42"/>
        <w:ind w:firstLine="480" w:firstLineChars="200"/>
        <w:rPr>
          <w:color w:val="auto"/>
          <w:highlight w:val="none"/>
        </w:rPr>
      </w:pPr>
      <w:r>
        <w:rPr>
          <w:rFonts w:hint="eastAsia"/>
          <w:color w:val="auto"/>
          <w:highlight w:val="none"/>
        </w:rPr>
        <w:t>监察部投诉及举报邮箱：scqxzb_shl@163.com</w:t>
      </w:r>
    </w:p>
    <w:p>
      <w:pPr>
        <w:pStyle w:val="42"/>
        <w:ind w:firstLine="480" w:firstLineChars="200"/>
        <w:rPr>
          <w:color w:val="auto"/>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720" w:num="1"/>
          <w:titlePg/>
          <w:docGrid w:linePitch="312" w:charSpace="0"/>
        </w:sectPr>
      </w:pPr>
      <w:r>
        <w:rPr>
          <w:rFonts w:hint="eastAsia"/>
          <w:color w:val="auto"/>
          <w:highlight w:val="none"/>
        </w:rPr>
        <w:t>监察部投诉及举报电话：028-62630990</w:t>
      </w:r>
      <w:bookmarkEnd w:id="5"/>
      <w:bookmarkEnd w:id="6"/>
      <w:bookmarkEnd w:id="7"/>
      <w:bookmarkEnd w:id="8"/>
    </w:p>
    <w:p>
      <w:pPr>
        <w:pStyle w:val="42"/>
        <w:jc w:val="center"/>
        <w:rPr>
          <w:color w:val="auto"/>
          <w:highlight w:val="none"/>
        </w:rPr>
      </w:pPr>
      <w:r>
        <w:rPr>
          <w:rFonts w:hint="eastAsia"/>
          <w:color w:val="auto"/>
          <w:highlight w:val="none"/>
        </w:rPr>
        <w:t>目  录</w:t>
      </w:r>
      <w:bookmarkEnd w:id="0"/>
      <w:bookmarkEnd w:id="1"/>
    </w:p>
    <w:p>
      <w:pPr>
        <w:pStyle w:val="19"/>
        <w:tabs>
          <w:tab w:val="clear" w:pos="0"/>
        </w:tabs>
      </w:pPr>
      <w:bookmarkStart w:id="9" w:name="_Toc26242"/>
      <w:bookmarkStart w:id="10" w:name="_Toc15794"/>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highlight w:val="none"/>
        </w:rPr>
        <w:instrText xml:space="preserve"> HYPERLINK \l _Toc30721 </w:instrText>
      </w:r>
      <w:r>
        <w:rPr>
          <w:highlight w:val="none"/>
        </w:rPr>
        <w:fldChar w:fldCharType="separate"/>
      </w:r>
      <w:r>
        <w:rPr>
          <w:rFonts w:hint="eastAsia" w:ascii="宋体" w:hAnsi="宋体" w:eastAsia="宋体" w:cs="宋体"/>
        </w:rPr>
        <w:t xml:space="preserve">第一章 </w:t>
      </w:r>
      <w:r>
        <w:rPr>
          <w:rFonts w:hint="eastAsia"/>
          <w:highlight w:val="none"/>
        </w:rPr>
        <w:t>投标邀请</w:t>
      </w:r>
      <w:r>
        <w:tab/>
      </w:r>
      <w:r>
        <w:fldChar w:fldCharType="begin"/>
      </w:r>
      <w:r>
        <w:instrText xml:space="preserve"> PAGEREF _Toc30721 \h </w:instrText>
      </w:r>
      <w:r>
        <w:fldChar w:fldCharType="separate"/>
      </w:r>
      <w:r>
        <w:t>6</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_Toc3620 </w:instrText>
      </w:r>
      <w:r>
        <w:rPr>
          <w:highlight w:val="none"/>
        </w:rPr>
        <w:fldChar w:fldCharType="separate"/>
      </w:r>
      <w:r>
        <w:rPr>
          <w:rFonts w:hint="eastAsia" w:ascii="宋体" w:hAnsi="宋体" w:eastAsia="宋体" w:cs="宋体"/>
        </w:rPr>
        <w:t xml:space="preserve">第二章 </w:t>
      </w:r>
      <w:r>
        <w:rPr>
          <w:rFonts w:hint="eastAsia"/>
          <w:highlight w:val="none"/>
        </w:rPr>
        <w:t>投标人须知</w:t>
      </w:r>
      <w:r>
        <w:tab/>
      </w:r>
      <w:r>
        <w:fldChar w:fldCharType="begin"/>
      </w:r>
      <w:r>
        <w:instrText xml:space="preserve"> PAGEREF _Toc3620 \h </w:instrText>
      </w:r>
      <w:r>
        <w:fldChar w:fldCharType="separate"/>
      </w:r>
      <w:r>
        <w:t>9</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_Toc18071 </w:instrText>
      </w:r>
      <w:r>
        <w:rPr>
          <w:highlight w:val="none"/>
        </w:rPr>
        <w:fldChar w:fldCharType="separate"/>
      </w:r>
      <w:r>
        <w:rPr>
          <w:rFonts w:hint="eastAsia"/>
        </w:rPr>
        <w:t xml:space="preserve">一、 </w:t>
      </w:r>
      <w:r>
        <w:rPr>
          <w:rFonts w:hint="eastAsia"/>
          <w:highlight w:val="none"/>
        </w:rPr>
        <w:t>投标人须知前附表</w:t>
      </w:r>
      <w:r>
        <w:tab/>
      </w:r>
      <w:r>
        <w:fldChar w:fldCharType="begin"/>
      </w:r>
      <w:r>
        <w:instrText xml:space="preserve"> PAGEREF _Toc18071 \h </w:instrText>
      </w:r>
      <w:r>
        <w:fldChar w:fldCharType="separate"/>
      </w:r>
      <w:r>
        <w:t>9</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_Toc1309 </w:instrText>
      </w:r>
      <w:r>
        <w:rPr>
          <w:highlight w:val="none"/>
        </w:rPr>
        <w:fldChar w:fldCharType="separate"/>
      </w:r>
      <w:r>
        <w:rPr>
          <w:rFonts w:hint="eastAsia"/>
        </w:rPr>
        <w:t xml:space="preserve">二、 </w:t>
      </w:r>
      <w:r>
        <w:rPr>
          <w:rFonts w:hint="eastAsia"/>
          <w:highlight w:val="none"/>
        </w:rPr>
        <w:t>总 则</w:t>
      </w:r>
      <w:r>
        <w:tab/>
      </w:r>
      <w:r>
        <w:fldChar w:fldCharType="begin"/>
      </w:r>
      <w:r>
        <w:instrText xml:space="preserve"> PAGEREF _Toc1309 \h </w:instrText>
      </w:r>
      <w:r>
        <w:fldChar w:fldCharType="separate"/>
      </w:r>
      <w:r>
        <w:t>15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_Toc18593 </w:instrText>
      </w:r>
      <w:r>
        <w:rPr>
          <w:highlight w:val="none"/>
        </w:rPr>
        <w:fldChar w:fldCharType="separate"/>
      </w:r>
      <w:r>
        <w:rPr>
          <w:rFonts w:hint="eastAsia" w:ascii="宋体" w:hAnsi="宋体" w:eastAsia="宋体" w:cs="宋体"/>
        </w:rPr>
        <w:t xml:space="preserve">(一) </w:t>
      </w:r>
      <w:r>
        <w:rPr>
          <w:rFonts w:hint="eastAsia"/>
          <w:highlight w:val="none"/>
        </w:rPr>
        <w:t>适用范围</w:t>
      </w:r>
      <w:r>
        <w:tab/>
      </w:r>
      <w:r>
        <w:fldChar w:fldCharType="begin"/>
      </w:r>
      <w:r>
        <w:instrText xml:space="preserve"> PAGEREF _Toc18593 \h </w:instrText>
      </w:r>
      <w:r>
        <w:fldChar w:fldCharType="separate"/>
      </w:r>
      <w:r>
        <w:t>15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_Toc7361 </w:instrText>
      </w:r>
      <w:r>
        <w:rPr>
          <w:highlight w:val="none"/>
        </w:rPr>
        <w:fldChar w:fldCharType="separate"/>
      </w:r>
      <w:r>
        <w:rPr>
          <w:rFonts w:hint="eastAsia" w:ascii="宋体" w:hAnsi="宋体" w:eastAsia="宋体" w:cs="宋体"/>
        </w:rPr>
        <w:t xml:space="preserve">(二) </w:t>
      </w:r>
      <w:r>
        <w:rPr>
          <w:rFonts w:hint="eastAsia"/>
          <w:highlight w:val="none"/>
        </w:rPr>
        <w:t>有关定义</w:t>
      </w:r>
      <w:r>
        <w:tab/>
      </w:r>
      <w:r>
        <w:fldChar w:fldCharType="begin"/>
      </w:r>
      <w:r>
        <w:instrText xml:space="preserve"> PAGEREF _Toc7361 \h </w:instrText>
      </w:r>
      <w:r>
        <w:fldChar w:fldCharType="separate"/>
      </w:r>
      <w:r>
        <w:t>15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_Toc12424 </w:instrText>
      </w:r>
      <w:r>
        <w:rPr>
          <w:highlight w:val="none"/>
        </w:rPr>
        <w:fldChar w:fldCharType="separate"/>
      </w:r>
      <w:r>
        <w:rPr>
          <w:rFonts w:hint="eastAsia" w:ascii="宋体" w:hAnsi="宋体" w:eastAsia="宋体" w:cs="宋体"/>
        </w:rPr>
        <w:t xml:space="preserve">(三) </w:t>
      </w:r>
      <w:r>
        <w:rPr>
          <w:rFonts w:hint="eastAsia"/>
          <w:highlight w:val="none"/>
        </w:rPr>
        <w:t>合格的投标人(实质性要求)</w:t>
      </w:r>
      <w:r>
        <w:tab/>
      </w:r>
      <w:r>
        <w:fldChar w:fldCharType="begin"/>
      </w:r>
      <w:r>
        <w:instrText xml:space="preserve"> PAGEREF _Toc12424 \h </w:instrText>
      </w:r>
      <w:r>
        <w:fldChar w:fldCharType="separate"/>
      </w:r>
      <w:r>
        <w:t>15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_Toc16427 </w:instrText>
      </w:r>
      <w:r>
        <w:rPr>
          <w:highlight w:val="none"/>
        </w:rPr>
        <w:fldChar w:fldCharType="separate"/>
      </w:r>
      <w:r>
        <w:rPr>
          <w:rFonts w:hint="eastAsia" w:ascii="宋体" w:hAnsi="宋体" w:eastAsia="宋体" w:cs="宋体"/>
        </w:rPr>
        <w:t xml:space="preserve">(四) </w:t>
      </w:r>
      <w:r>
        <w:rPr>
          <w:rFonts w:hint="eastAsia"/>
          <w:highlight w:val="none"/>
        </w:rPr>
        <w:t>投标费用(实质性要求)</w:t>
      </w:r>
      <w:r>
        <w:tab/>
      </w:r>
      <w:r>
        <w:fldChar w:fldCharType="begin"/>
      </w:r>
      <w:r>
        <w:instrText xml:space="preserve"> PAGEREF _Toc16427 \h </w:instrText>
      </w:r>
      <w:r>
        <w:fldChar w:fldCharType="separate"/>
      </w:r>
      <w:r>
        <w:t>15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_Toc32269 </w:instrText>
      </w:r>
      <w:r>
        <w:rPr>
          <w:highlight w:val="none"/>
        </w:rPr>
        <w:fldChar w:fldCharType="separate"/>
      </w:r>
      <w:r>
        <w:rPr>
          <w:rFonts w:hint="eastAsia" w:ascii="宋体" w:hAnsi="宋体" w:eastAsia="宋体" w:cs="宋体"/>
        </w:rPr>
        <w:t xml:space="preserve">(五) </w:t>
      </w:r>
      <w:r>
        <w:rPr>
          <w:rFonts w:hint="eastAsia"/>
          <w:highlight w:val="none"/>
        </w:rPr>
        <w:t>充分、公平竞争保障措施(实质性要求)</w:t>
      </w:r>
      <w:r>
        <w:tab/>
      </w:r>
      <w:r>
        <w:fldChar w:fldCharType="begin"/>
      </w:r>
      <w:r>
        <w:instrText xml:space="preserve"> PAGEREF _Toc32269 \h </w:instrText>
      </w:r>
      <w:r>
        <w:fldChar w:fldCharType="separate"/>
      </w:r>
      <w:r>
        <w:t>15</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_Toc21755 </w:instrText>
      </w:r>
      <w:r>
        <w:rPr>
          <w:highlight w:val="none"/>
        </w:rPr>
        <w:fldChar w:fldCharType="separate"/>
      </w:r>
      <w:r>
        <w:rPr>
          <w:rFonts w:hint="eastAsia"/>
        </w:rPr>
        <w:t xml:space="preserve">三、 </w:t>
      </w:r>
      <w:r>
        <w:rPr>
          <w:rFonts w:hint="eastAsia"/>
          <w:highlight w:val="none"/>
        </w:rPr>
        <w:t>招标文件</w:t>
      </w:r>
      <w:r>
        <w:tab/>
      </w:r>
      <w:r>
        <w:fldChar w:fldCharType="begin"/>
      </w:r>
      <w:r>
        <w:instrText xml:space="preserve"> PAGEREF _Toc21755 \h </w:instrText>
      </w:r>
      <w:r>
        <w:fldChar w:fldCharType="separate"/>
      </w:r>
      <w:r>
        <w:t>16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_Toc22945 </w:instrText>
      </w:r>
      <w:r>
        <w:rPr>
          <w:highlight w:val="none"/>
        </w:rPr>
        <w:fldChar w:fldCharType="separate"/>
      </w:r>
      <w:r>
        <w:rPr>
          <w:rFonts w:hint="eastAsia" w:ascii="宋体" w:hAnsi="宋体" w:eastAsia="宋体" w:cs="宋体"/>
        </w:rPr>
        <w:t xml:space="preserve">(一) </w:t>
      </w:r>
      <w:r>
        <w:rPr>
          <w:rFonts w:hint="eastAsia"/>
          <w:highlight w:val="none"/>
        </w:rPr>
        <w:t>招标文件的构成</w:t>
      </w:r>
      <w:r>
        <w:tab/>
      </w:r>
      <w:r>
        <w:fldChar w:fldCharType="begin"/>
      </w:r>
      <w:r>
        <w:instrText xml:space="preserve"> PAGEREF _Toc22945 \h </w:instrText>
      </w:r>
      <w:r>
        <w:fldChar w:fldCharType="separate"/>
      </w:r>
      <w:r>
        <w:t>16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_Toc15822 </w:instrText>
      </w:r>
      <w:r>
        <w:rPr>
          <w:highlight w:val="none"/>
        </w:rPr>
        <w:fldChar w:fldCharType="separate"/>
      </w:r>
      <w:r>
        <w:rPr>
          <w:rFonts w:hint="eastAsia" w:ascii="宋体" w:hAnsi="宋体" w:eastAsia="宋体" w:cs="宋体"/>
        </w:rPr>
        <w:t xml:space="preserve">(二) </w:t>
      </w:r>
      <w:r>
        <w:rPr>
          <w:rFonts w:hint="eastAsia"/>
          <w:highlight w:val="none"/>
        </w:rPr>
        <w:t>招标文件的澄清和修改</w:t>
      </w:r>
      <w:r>
        <w:tab/>
      </w:r>
      <w:r>
        <w:fldChar w:fldCharType="begin"/>
      </w:r>
      <w:r>
        <w:instrText xml:space="preserve"> PAGEREF _Toc15822 \h </w:instrText>
      </w:r>
      <w:r>
        <w:fldChar w:fldCharType="separate"/>
      </w:r>
      <w:r>
        <w:t>17</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_Toc20381 </w:instrText>
      </w:r>
      <w:r>
        <w:rPr>
          <w:highlight w:val="none"/>
        </w:rPr>
        <w:fldChar w:fldCharType="separate"/>
      </w:r>
      <w:r>
        <w:rPr>
          <w:rFonts w:hint="eastAsia" w:ascii="宋体" w:hAnsi="宋体" w:eastAsia="宋体" w:cs="宋体"/>
        </w:rPr>
        <w:t xml:space="preserve">(三) </w:t>
      </w:r>
      <w:r>
        <w:rPr>
          <w:rFonts w:hint="eastAsia"/>
          <w:highlight w:val="none"/>
        </w:rPr>
        <w:t>答疑会和现场考察</w:t>
      </w:r>
      <w:r>
        <w:tab/>
      </w:r>
      <w:r>
        <w:fldChar w:fldCharType="begin"/>
      </w:r>
      <w:r>
        <w:instrText xml:space="preserve"> PAGEREF _Toc20381 \h </w:instrText>
      </w:r>
      <w:r>
        <w:fldChar w:fldCharType="separate"/>
      </w:r>
      <w:r>
        <w:t>17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_Toc24859 </w:instrText>
      </w:r>
      <w:r>
        <w:rPr>
          <w:highlight w:val="none"/>
        </w:rPr>
        <w:fldChar w:fldCharType="separate"/>
      </w:r>
      <w:r>
        <w:rPr>
          <w:rFonts w:hint="eastAsia"/>
        </w:rPr>
        <w:t xml:space="preserve">四、 </w:t>
      </w:r>
      <w:r>
        <w:rPr>
          <w:rFonts w:hint="eastAsia"/>
          <w:highlight w:val="none"/>
        </w:rPr>
        <w:t>投标文件</w:t>
      </w:r>
      <w:r>
        <w:tab/>
      </w:r>
      <w:r>
        <w:fldChar w:fldCharType="begin"/>
      </w:r>
      <w:r>
        <w:instrText xml:space="preserve"> PAGEREF _Toc24859 \h </w:instrText>
      </w:r>
      <w:r>
        <w:fldChar w:fldCharType="separate"/>
      </w:r>
      <w:r>
        <w:t>18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_Toc4630 </w:instrText>
      </w:r>
      <w:r>
        <w:rPr>
          <w:highlight w:val="none"/>
        </w:rPr>
        <w:fldChar w:fldCharType="separate"/>
      </w:r>
      <w:r>
        <w:rPr>
          <w:rFonts w:hint="eastAsia" w:ascii="宋体" w:hAnsi="宋体" w:eastAsia="宋体" w:cs="宋体"/>
        </w:rPr>
        <w:t xml:space="preserve">(一) </w:t>
      </w:r>
      <w:r>
        <w:rPr>
          <w:rFonts w:hint="eastAsia"/>
          <w:highlight w:val="none"/>
        </w:rPr>
        <w:t>投标文件的语言(实质性要求)</w:t>
      </w:r>
      <w:r>
        <w:tab/>
      </w:r>
      <w:r>
        <w:fldChar w:fldCharType="begin"/>
      </w:r>
      <w:r>
        <w:instrText xml:space="preserve"> PAGEREF _Toc4630 \h </w:instrText>
      </w:r>
      <w:r>
        <w:fldChar w:fldCharType="separate"/>
      </w:r>
      <w:r>
        <w:t>18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_Toc24628 </w:instrText>
      </w:r>
      <w:r>
        <w:rPr>
          <w:highlight w:val="none"/>
        </w:rPr>
        <w:fldChar w:fldCharType="separate"/>
      </w:r>
      <w:r>
        <w:rPr>
          <w:rFonts w:hint="eastAsia" w:ascii="宋体" w:hAnsi="宋体" w:eastAsia="宋体" w:cs="宋体"/>
        </w:rPr>
        <w:t xml:space="preserve">(二) </w:t>
      </w:r>
      <w:r>
        <w:rPr>
          <w:rFonts w:hint="eastAsia"/>
          <w:highlight w:val="none"/>
        </w:rPr>
        <w:t>计量单位(实质性要求)</w:t>
      </w:r>
      <w:r>
        <w:tab/>
      </w:r>
      <w:r>
        <w:fldChar w:fldCharType="begin"/>
      </w:r>
      <w:r>
        <w:instrText xml:space="preserve"> PAGEREF _Toc24628 \h </w:instrText>
      </w:r>
      <w:r>
        <w:fldChar w:fldCharType="separate"/>
      </w:r>
      <w:r>
        <w:t>18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_Toc24154 </w:instrText>
      </w:r>
      <w:r>
        <w:rPr>
          <w:highlight w:val="none"/>
        </w:rPr>
        <w:fldChar w:fldCharType="separate"/>
      </w:r>
      <w:r>
        <w:rPr>
          <w:rFonts w:hint="eastAsia" w:ascii="宋体" w:hAnsi="宋体" w:eastAsia="宋体" w:cs="宋体"/>
        </w:rPr>
        <w:t xml:space="preserve">(三) </w:t>
      </w:r>
      <w:r>
        <w:rPr>
          <w:rFonts w:hint="eastAsia"/>
          <w:highlight w:val="none"/>
        </w:rPr>
        <w:t>投标货币(实质性要求)</w:t>
      </w:r>
      <w:r>
        <w:tab/>
      </w:r>
      <w:r>
        <w:fldChar w:fldCharType="begin"/>
      </w:r>
      <w:r>
        <w:instrText xml:space="preserve"> PAGEREF _Toc24154 \h </w:instrText>
      </w:r>
      <w:r>
        <w:fldChar w:fldCharType="separate"/>
      </w:r>
      <w:r>
        <w:t>18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_Toc18257 </w:instrText>
      </w:r>
      <w:r>
        <w:rPr>
          <w:highlight w:val="none"/>
        </w:rPr>
        <w:fldChar w:fldCharType="separate"/>
      </w:r>
      <w:r>
        <w:rPr>
          <w:rFonts w:hint="eastAsia" w:ascii="宋体" w:hAnsi="宋体" w:eastAsia="宋体" w:cs="宋体"/>
        </w:rPr>
        <w:t xml:space="preserve">(四) </w:t>
      </w:r>
      <w:r>
        <w:rPr>
          <w:rFonts w:hint="eastAsia"/>
          <w:highlight w:val="none"/>
        </w:rPr>
        <w:t>联合体投标(实质性要求)</w:t>
      </w:r>
      <w:r>
        <w:tab/>
      </w:r>
      <w:r>
        <w:fldChar w:fldCharType="begin"/>
      </w:r>
      <w:r>
        <w:instrText xml:space="preserve"> PAGEREF _Toc18257 \h </w:instrText>
      </w:r>
      <w:r>
        <w:fldChar w:fldCharType="separate"/>
      </w:r>
      <w:r>
        <w:t>18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_Toc19298 </w:instrText>
      </w:r>
      <w:r>
        <w:rPr>
          <w:highlight w:val="none"/>
        </w:rPr>
        <w:fldChar w:fldCharType="separate"/>
      </w:r>
      <w:r>
        <w:rPr>
          <w:rFonts w:hint="eastAsia" w:ascii="宋体" w:hAnsi="宋体" w:eastAsia="宋体" w:cs="宋体"/>
        </w:rPr>
        <w:t xml:space="preserve">(五) </w:t>
      </w:r>
      <w:r>
        <w:rPr>
          <w:rFonts w:hint="eastAsia"/>
          <w:highlight w:val="none"/>
        </w:rPr>
        <w:t>知识产权(实质性要求)</w:t>
      </w:r>
      <w:r>
        <w:tab/>
      </w:r>
      <w:r>
        <w:fldChar w:fldCharType="begin"/>
      </w:r>
      <w:r>
        <w:instrText xml:space="preserve"> PAGEREF _Toc19298 \h </w:instrText>
      </w:r>
      <w:r>
        <w:fldChar w:fldCharType="separate"/>
      </w:r>
      <w:r>
        <w:t>18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_Toc1725 </w:instrText>
      </w:r>
      <w:r>
        <w:rPr>
          <w:highlight w:val="none"/>
        </w:rPr>
        <w:fldChar w:fldCharType="separate"/>
      </w:r>
      <w:r>
        <w:rPr>
          <w:rFonts w:hint="eastAsia" w:ascii="宋体" w:hAnsi="宋体" w:eastAsia="宋体" w:cs="宋体"/>
        </w:rPr>
        <w:t xml:space="preserve">(六) </w:t>
      </w:r>
      <w:r>
        <w:rPr>
          <w:rFonts w:hint="eastAsia"/>
          <w:highlight w:val="none"/>
        </w:rPr>
        <w:t>投标文件的组成</w:t>
      </w:r>
      <w:r>
        <w:tab/>
      </w:r>
      <w:r>
        <w:fldChar w:fldCharType="begin"/>
      </w:r>
      <w:r>
        <w:instrText xml:space="preserve"> PAGEREF _Toc1725 \h </w:instrText>
      </w:r>
      <w:r>
        <w:fldChar w:fldCharType="separate"/>
      </w:r>
      <w:r>
        <w:t>19</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_Toc12470 </w:instrText>
      </w:r>
      <w:r>
        <w:rPr>
          <w:highlight w:val="none"/>
        </w:rPr>
        <w:fldChar w:fldCharType="separate"/>
      </w:r>
      <w:r>
        <w:rPr>
          <w:rFonts w:hint="eastAsia" w:ascii="宋体" w:hAnsi="宋体" w:eastAsia="宋体" w:cs="宋体"/>
        </w:rPr>
        <w:t xml:space="preserve">(七) </w:t>
      </w:r>
      <w:r>
        <w:rPr>
          <w:rFonts w:hint="eastAsia"/>
          <w:highlight w:val="none"/>
        </w:rPr>
        <w:t>投标文件格式</w:t>
      </w:r>
      <w:r>
        <w:tab/>
      </w:r>
      <w:r>
        <w:fldChar w:fldCharType="begin"/>
      </w:r>
      <w:r>
        <w:instrText xml:space="preserve"> PAGEREF _Toc12470 \h </w:instrText>
      </w:r>
      <w:r>
        <w:fldChar w:fldCharType="separate"/>
      </w:r>
      <w:r>
        <w:t>20</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_Toc18078 </w:instrText>
      </w:r>
      <w:r>
        <w:rPr>
          <w:highlight w:val="none"/>
        </w:rPr>
        <w:fldChar w:fldCharType="separate"/>
      </w:r>
      <w:r>
        <w:rPr>
          <w:rFonts w:hint="eastAsia" w:ascii="宋体" w:hAnsi="宋体" w:eastAsia="宋体" w:cs="宋体"/>
        </w:rPr>
        <w:t xml:space="preserve">(八) </w:t>
      </w:r>
      <w:r>
        <w:rPr>
          <w:rFonts w:hint="eastAsia"/>
          <w:highlight w:val="none"/>
        </w:rPr>
        <w:t>投标保证金</w:t>
      </w:r>
      <w:r>
        <w:tab/>
      </w:r>
      <w:r>
        <w:fldChar w:fldCharType="begin"/>
      </w:r>
      <w:r>
        <w:instrText xml:space="preserve"> PAGEREF _Toc18078 \h </w:instrText>
      </w:r>
      <w:r>
        <w:fldChar w:fldCharType="separate"/>
      </w:r>
      <w:r>
        <w:t>20</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_Toc4505 </w:instrText>
      </w:r>
      <w:r>
        <w:rPr>
          <w:highlight w:val="none"/>
        </w:rPr>
        <w:fldChar w:fldCharType="separate"/>
      </w:r>
      <w:r>
        <w:rPr>
          <w:rFonts w:hint="eastAsia" w:ascii="宋体" w:hAnsi="宋体" w:eastAsia="宋体" w:cs="宋体"/>
        </w:rPr>
        <w:t xml:space="preserve">(九) </w:t>
      </w:r>
      <w:r>
        <w:rPr>
          <w:rFonts w:hint="eastAsia"/>
          <w:highlight w:val="none"/>
        </w:rPr>
        <w:t>投标有效期(实质性要求)</w:t>
      </w:r>
      <w:r>
        <w:tab/>
      </w:r>
      <w:r>
        <w:fldChar w:fldCharType="begin"/>
      </w:r>
      <w:r>
        <w:instrText xml:space="preserve"> PAGEREF _Toc4505 \h </w:instrText>
      </w:r>
      <w:r>
        <w:fldChar w:fldCharType="separate"/>
      </w:r>
      <w:r>
        <w:t>20</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_Toc29183 </w:instrText>
      </w:r>
      <w:r>
        <w:rPr>
          <w:highlight w:val="none"/>
        </w:rPr>
        <w:fldChar w:fldCharType="separate"/>
      </w:r>
      <w:r>
        <w:rPr>
          <w:rFonts w:hint="eastAsia" w:ascii="宋体" w:hAnsi="宋体" w:eastAsia="宋体" w:cs="宋体"/>
        </w:rPr>
        <w:t xml:space="preserve">(十) </w:t>
      </w:r>
      <w:r>
        <w:rPr>
          <w:rFonts w:hint="eastAsia" w:cs="宋体"/>
          <w:highlight w:val="none"/>
        </w:rPr>
        <w:t>投标文件的制作和签章、加密</w:t>
      </w:r>
      <w:r>
        <w:tab/>
      </w:r>
      <w:r>
        <w:fldChar w:fldCharType="begin"/>
      </w:r>
      <w:r>
        <w:instrText xml:space="preserve"> PAGEREF _Toc29183 \h </w:instrText>
      </w:r>
      <w:r>
        <w:fldChar w:fldCharType="separate"/>
      </w:r>
      <w:r>
        <w:t>20</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_Toc5755 </w:instrText>
      </w:r>
      <w:r>
        <w:rPr>
          <w:highlight w:val="none"/>
        </w:rPr>
        <w:fldChar w:fldCharType="separate"/>
      </w:r>
      <w:r>
        <w:rPr>
          <w:rFonts w:hint="eastAsia" w:ascii="宋体" w:hAnsi="宋体" w:eastAsia="宋体" w:cs="宋体"/>
        </w:rPr>
        <w:t xml:space="preserve">(十一) </w:t>
      </w:r>
      <w:r>
        <w:rPr>
          <w:rFonts w:hint="eastAsia" w:cs="宋体"/>
          <w:highlight w:val="none"/>
        </w:rPr>
        <w:t>投标文件的递交</w:t>
      </w:r>
      <w:r>
        <w:tab/>
      </w:r>
      <w:r>
        <w:fldChar w:fldCharType="begin"/>
      </w:r>
      <w:r>
        <w:instrText xml:space="preserve"> PAGEREF _Toc5755 \h </w:instrText>
      </w:r>
      <w:r>
        <w:fldChar w:fldCharType="separate"/>
      </w:r>
      <w:r>
        <w:t>21</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_Toc31473 </w:instrText>
      </w:r>
      <w:r>
        <w:rPr>
          <w:highlight w:val="none"/>
        </w:rPr>
        <w:fldChar w:fldCharType="separate"/>
      </w:r>
      <w:r>
        <w:rPr>
          <w:rFonts w:hint="eastAsia" w:ascii="宋体" w:hAnsi="宋体" w:eastAsia="宋体" w:cs="宋体"/>
        </w:rPr>
        <w:t xml:space="preserve">(十二) </w:t>
      </w:r>
      <w:r>
        <w:rPr>
          <w:rFonts w:hint="eastAsia" w:cs="宋体"/>
          <w:highlight w:val="none"/>
        </w:rPr>
        <w:t>投标文件的修改和撤回</w:t>
      </w:r>
      <w:r>
        <w:tab/>
      </w:r>
      <w:r>
        <w:fldChar w:fldCharType="begin"/>
      </w:r>
      <w:r>
        <w:instrText xml:space="preserve"> PAGEREF _Toc31473 \h </w:instrText>
      </w:r>
      <w:r>
        <w:fldChar w:fldCharType="separate"/>
      </w:r>
      <w:r>
        <w:t>21</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_Toc12026 </w:instrText>
      </w:r>
      <w:r>
        <w:rPr>
          <w:highlight w:val="none"/>
        </w:rPr>
        <w:fldChar w:fldCharType="separate"/>
      </w:r>
      <w:r>
        <w:rPr>
          <w:rFonts w:hint="eastAsia" w:ascii="宋体" w:hAnsi="宋体" w:eastAsia="宋体" w:cs="宋体"/>
        </w:rPr>
        <w:t xml:space="preserve">(十三) </w:t>
      </w:r>
      <w:r>
        <w:rPr>
          <w:rFonts w:hint="eastAsia" w:cs="宋体"/>
          <w:highlight w:val="none"/>
        </w:rPr>
        <w:t>投标文件的解密</w:t>
      </w:r>
      <w:r>
        <w:tab/>
      </w:r>
      <w:r>
        <w:fldChar w:fldCharType="begin"/>
      </w:r>
      <w:r>
        <w:instrText xml:space="preserve"> PAGEREF _Toc12026 \h </w:instrText>
      </w:r>
      <w:r>
        <w:fldChar w:fldCharType="separate"/>
      </w:r>
      <w:r>
        <w:t>21</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_Toc10508 </w:instrText>
      </w:r>
      <w:r>
        <w:rPr>
          <w:highlight w:val="none"/>
        </w:rPr>
        <w:fldChar w:fldCharType="separate"/>
      </w:r>
      <w:r>
        <w:rPr>
          <w:rFonts w:hint="eastAsia"/>
        </w:rPr>
        <w:t xml:space="preserve">五、 </w:t>
      </w:r>
      <w:r>
        <w:rPr>
          <w:rFonts w:hint="eastAsia"/>
          <w:highlight w:val="none"/>
        </w:rPr>
        <w:t>开标和中标</w:t>
      </w:r>
      <w:r>
        <w:tab/>
      </w:r>
      <w:r>
        <w:fldChar w:fldCharType="begin"/>
      </w:r>
      <w:r>
        <w:instrText xml:space="preserve"> PAGEREF _Toc10508 \h </w:instrText>
      </w:r>
      <w:r>
        <w:fldChar w:fldCharType="separate"/>
      </w:r>
      <w:r>
        <w:t>22</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_Toc2306 </w:instrText>
      </w:r>
      <w:r>
        <w:rPr>
          <w:highlight w:val="none"/>
        </w:rPr>
        <w:fldChar w:fldCharType="separate"/>
      </w:r>
      <w:r>
        <w:rPr>
          <w:rFonts w:hint="eastAsia" w:ascii="宋体" w:hAnsi="宋体" w:eastAsia="宋体" w:cs="宋体"/>
        </w:rPr>
        <w:t xml:space="preserve">(一) </w:t>
      </w:r>
      <w:r>
        <w:rPr>
          <w:rFonts w:hint="eastAsia" w:cs="宋体"/>
          <w:highlight w:val="none"/>
        </w:rPr>
        <w:t>开标及开标程序</w:t>
      </w:r>
      <w:r>
        <w:tab/>
      </w:r>
      <w:r>
        <w:fldChar w:fldCharType="begin"/>
      </w:r>
      <w:r>
        <w:instrText xml:space="preserve"> PAGEREF _Toc2306 \h </w:instrText>
      </w:r>
      <w:r>
        <w:fldChar w:fldCharType="separate"/>
      </w:r>
      <w:r>
        <w:t>22</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_Toc3217 </w:instrText>
      </w:r>
      <w:r>
        <w:rPr>
          <w:highlight w:val="none"/>
        </w:rPr>
        <w:fldChar w:fldCharType="separate"/>
      </w:r>
      <w:r>
        <w:rPr>
          <w:rFonts w:hint="eastAsia" w:ascii="宋体" w:hAnsi="宋体" w:eastAsia="宋体" w:cs="宋体"/>
        </w:rPr>
        <w:t xml:space="preserve">(二) </w:t>
      </w:r>
      <w:r>
        <w:rPr>
          <w:rFonts w:hint="eastAsia" w:cs="宋体"/>
          <w:highlight w:val="none"/>
        </w:rPr>
        <w:t>开评标过程存档</w:t>
      </w:r>
      <w:r>
        <w:tab/>
      </w:r>
      <w:r>
        <w:fldChar w:fldCharType="begin"/>
      </w:r>
      <w:r>
        <w:instrText xml:space="preserve"> PAGEREF _Toc3217 \h </w:instrText>
      </w:r>
      <w:r>
        <w:fldChar w:fldCharType="separate"/>
      </w:r>
      <w:r>
        <w:t>22</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_Toc11716 </w:instrText>
      </w:r>
      <w:r>
        <w:rPr>
          <w:highlight w:val="none"/>
        </w:rPr>
        <w:fldChar w:fldCharType="separate"/>
      </w:r>
      <w:r>
        <w:rPr>
          <w:rFonts w:hint="eastAsia" w:ascii="宋体" w:hAnsi="宋体" w:eastAsia="宋体" w:cs="宋体"/>
        </w:rPr>
        <w:t xml:space="preserve">(三) </w:t>
      </w:r>
      <w:r>
        <w:rPr>
          <w:rFonts w:hint="eastAsia" w:cs="宋体"/>
          <w:highlight w:val="none"/>
        </w:rPr>
        <w:t>中标通知书</w:t>
      </w:r>
      <w:r>
        <w:tab/>
      </w:r>
      <w:r>
        <w:fldChar w:fldCharType="begin"/>
      </w:r>
      <w:r>
        <w:instrText xml:space="preserve"> PAGEREF _Toc11716 \h </w:instrText>
      </w:r>
      <w:r>
        <w:fldChar w:fldCharType="separate"/>
      </w:r>
      <w:r>
        <w:t>22</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_Toc17399 </w:instrText>
      </w:r>
      <w:r>
        <w:rPr>
          <w:highlight w:val="none"/>
        </w:rPr>
        <w:fldChar w:fldCharType="separate"/>
      </w:r>
      <w:r>
        <w:rPr>
          <w:rFonts w:hint="eastAsia"/>
        </w:rPr>
        <w:t xml:space="preserve">六、 </w:t>
      </w:r>
      <w:r>
        <w:rPr>
          <w:rFonts w:hint="eastAsia"/>
          <w:highlight w:val="none"/>
        </w:rPr>
        <w:t>签订及履行合同和验收</w:t>
      </w:r>
      <w:r>
        <w:tab/>
      </w:r>
      <w:r>
        <w:fldChar w:fldCharType="begin"/>
      </w:r>
      <w:r>
        <w:instrText xml:space="preserve"> PAGEREF _Toc17399 \h </w:instrText>
      </w:r>
      <w:r>
        <w:fldChar w:fldCharType="separate"/>
      </w:r>
      <w:r>
        <w:t>23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_Toc23461 </w:instrText>
      </w:r>
      <w:r>
        <w:rPr>
          <w:highlight w:val="none"/>
        </w:rPr>
        <w:fldChar w:fldCharType="separate"/>
      </w:r>
      <w:r>
        <w:rPr>
          <w:rFonts w:hint="eastAsia" w:ascii="宋体" w:hAnsi="宋体" w:eastAsia="宋体" w:cs="宋体"/>
        </w:rPr>
        <w:t xml:space="preserve">(一) </w:t>
      </w:r>
      <w:r>
        <w:rPr>
          <w:rFonts w:hint="eastAsia" w:cs="宋体"/>
          <w:highlight w:val="none"/>
        </w:rPr>
        <w:t>签订合同</w:t>
      </w:r>
      <w:r>
        <w:tab/>
      </w:r>
      <w:r>
        <w:fldChar w:fldCharType="begin"/>
      </w:r>
      <w:r>
        <w:instrText xml:space="preserve"> PAGEREF _Toc23461 \h </w:instrText>
      </w:r>
      <w:r>
        <w:fldChar w:fldCharType="separate"/>
      </w:r>
      <w:r>
        <w:t>23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_Toc28346 </w:instrText>
      </w:r>
      <w:r>
        <w:rPr>
          <w:highlight w:val="none"/>
        </w:rPr>
        <w:fldChar w:fldCharType="separate"/>
      </w:r>
      <w:r>
        <w:rPr>
          <w:rFonts w:hint="eastAsia" w:ascii="宋体" w:hAnsi="宋体" w:eastAsia="宋体" w:cs="宋体"/>
        </w:rPr>
        <w:t xml:space="preserve">(二) </w:t>
      </w:r>
      <w:r>
        <w:rPr>
          <w:rFonts w:hint="eastAsia" w:cs="宋体"/>
          <w:highlight w:val="none"/>
        </w:rPr>
        <w:t>合同分包(实质性要求)</w:t>
      </w:r>
      <w:r>
        <w:tab/>
      </w:r>
      <w:r>
        <w:fldChar w:fldCharType="begin"/>
      </w:r>
      <w:r>
        <w:instrText xml:space="preserve"> PAGEREF _Toc28346 \h </w:instrText>
      </w:r>
      <w:r>
        <w:fldChar w:fldCharType="separate"/>
      </w:r>
      <w:r>
        <w:t>23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_Toc11340 </w:instrText>
      </w:r>
      <w:r>
        <w:rPr>
          <w:highlight w:val="none"/>
        </w:rPr>
        <w:fldChar w:fldCharType="separate"/>
      </w:r>
      <w:r>
        <w:rPr>
          <w:rFonts w:hint="eastAsia" w:ascii="宋体" w:hAnsi="宋体" w:eastAsia="宋体" w:cs="宋体"/>
        </w:rPr>
        <w:t xml:space="preserve">(三) </w:t>
      </w:r>
      <w:r>
        <w:rPr>
          <w:rFonts w:hint="eastAsia" w:cs="宋体"/>
          <w:highlight w:val="none"/>
        </w:rPr>
        <w:t>合同转包(实质性要求)</w:t>
      </w:r>
      <w:r>
        <w:tab/>
      </w:r>
      <w:r>
        <w:fldChar w:fldCharType="begin"/>
      </w:r>
      <w:r>
        <w:instrText xml:space="preserve"> PAGEREF _Toc11340 \h </w:instrText>
      </w:r>
      <w:r>
        <w:fldChar w:fldCharType="separate"/>
      </w:r>
      <w:r>
        <w:t>23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_Toc16276 </w:instrText>
      </w:r>
      <w:r>
        <w:rPr>
          <w:highlight w:val="none"/>
        </w:rPr>
        <w:fldChar w:fldCharType="separate"/>
      </w:r>
      <w:r>
        <w:rPr>
          <w:rFonts w:hint="eastAsia" w:ascii="宋体" w:hAnsi="宋体" w:eastAsia="宋体" w:cs="宋体"/>
        </w:rPr>
        <w:t xml:space="preserve">(四) </w:t>
      </w:r>
      <w:r>
        <w:rPr>
          <w:rFonts w:hint="eastAsia" w:cs="宋体"/>
          <w:highlight w:val="none"/>
        </w:rPr>
        <w:t>补充合同</w:t>
      </w:r>
      <w:r>
        <w:tab/>
      </w:r>
      <w:r>
        <w:fldChar w:fldCharType="begin"/>
      </w:r>
      <w:r>
        <w:instrText xml:space="preserve"> PAGEREF _Toc16276 \h </w:instrText>
      </w:r>
      <w:r>
        <w:fldChar w:fldCharType="separate"/>
      </w:r>
      <w:r>
        <w:t>23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_Toc20598 </w:instrText>
      </w:r>
      <w:r>
        <w:rPr>
          <w:highlight w:val="none"/>
        </w:rPr>
        <w:fldChar w:fldCharType="separate"/>
      </w:r>
      <w:r>
        <w:rPr>
          <w:rFonts w:hint="eastAsia" w:ascii="宋体" w:hAnsi="宋体" w:eastAsia="宋体" w:cs="宋体"/>
        </w:rPr>
        <w:t xml:space="preserve">(五) </w:t>
      </w:r>
      <w:r>
        <w:rPr>
          <w:rFonts w:hint="eastAsia" w:cs="宋体"/>
          <w:highlight w:val="none"/>
        </w:rPr>
        <w:t>合同公告</w:t>
      </w:r>
      <w:r>
        <w:tab/>
      </w:r>
      <w:r>
        <w:fldChar w:fldCharType="begin"/>
      </w:r>
      <w:r>
        <w:instrText xml:space="preserve"> PAGEREF _Toc20598 \h </w:instrText>
      </w:r>
      <w:r>
        <w:fldChar w:fldCharType="separate"/>
      </w:r>
      <w:r>
        <w:t>24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_Toc29067 </w:instrText>
      </w:r>
      <w:r>
        <w:rPr>
          <w:highlight w:val="none"/>
        </w:rPr>
        <w:fldChar w:fldCharType="separate"/>
      </w:r>
      <w:r>
        <w:rPr>
          <w:rFonts w:hint="eastAsia" w:ascii="宋体" w:hAnsi="宋体" w:eastAsia="宋体" w:cs="宋体"/>
        </w:rPr>
        <w:t xml:space="preserve">(六) </w:t>
      </w:r>
      <w:r>
        <w:rPr>
          <w:rFonts w:hint="eastAsia" w:cs="宋体"/>
          <w:highlight w:val="none"/>
        </w:rPr>
        <w:t>合同备案</w:t>
      </w:r>
      <w:r>
        <w:tab/>
      </w:r>
      <w:r>
        <w:fldChar w:fldCharType="begin"/>
      </w:r>
      <w:r>
        <w:instrText xml:space="preserve"> PAGEREF _Toc29067 \h </w:instrText>
      </w:r>
      <w:r>
        <w:fldChar w:fldCharType="separate"/>
      </w:r>
      <w:r>
        <w:t>24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_Toc14155 </w:instrText>
      </w:r>
      <w:r>
        <w:rPr>
          <w:highlight w:val="none"/>
        </w:rPr>
        <w:fldChar w:fldCharType="separate"/>
      </w:r>
      <w:r>
        <w:rPr>
          <w:rFonts w:hint="eastAsia" w:ascii="宋体" w:hAnsi="宋体" w:eastAsia="宋体" w:cs="宋体"/>
        </w:rPr>
        <w:t xml:space="preserve">(七) </w:t>
      </w:r>
      <w:r>
        <w:rPr>
          <w:rFonts w:hint="eastAsia" w:cs="宋体"/>
          <w:highlight w:val="none"/>
        </w:rPr>
        <w:t>履约保证金</w:t>
      </w:r>
      <w:r>
        <w:tab/>
      </w:r>
      <w:r>
        <w:fldChar w:fldCharType="begin"/>
      </w:r>
      <w:r>
        <w:instrText xml:space="preserve"> PAGEREF _Toc14155 \h </w:instrText>
      </w:r>
      <w:r>
        <w:fldChar w:fldCharType="separate"/>
      </w:r>
      <w:r>
        <w:t>24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_Toc16000 </w:instrText>
      </w:r>
      <w:r>
        <w:rPr>
          <w:highlight w:val="none"/>
        </w:rPr>
        <w:fldChar w:fldCharType="separate"/>
      </w:r>
      <w:r>
        <w:rPr>
          <w:rFonts w:hint="eastAsia" w:ascii="宋体" w:hAnsi="宋体" w:eastAsia="宋体" w:cs="宋体"/>
        </w:rPr>
        <w:t xml:space="preserve">(八) </w:t>
      </w:r>
      <w:r>
        <w:rPr>
          <w:rFonts w:hint="eastAsia" w:cs="宋体"/>
          <w:highlight w:val="none"/>
        </w:rPr>
        <w:t>履行合同</w:t>
      </w:r>
      <w:r>
        <w:tab/>
      </w:r>
      <w:r>
        <w:fldChar w:fldCharType="begin"/>
      </w:r>
      <w:r>
        <w:instrText xml:space="preserve"> PAGEREF _Toc16000 \h </w:instrText>
      </w:r>
      <w:r>
        <w:fldChar w:fldCharType="separate"/>
      </w:r>
      <w:r>
        <w:t>24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_Toc25906 </w:instrText>
      </w:r>
      <w:r>
        <w:rPr>
          <w:highlight w:val="none"/>
        </w:rPr>
        <w:fldChar w:fldCharType="separate"/>
      </w:r>
      <w:r>
        <w:rPr>
          <w:rFonts w:hint="eastAsia" w:ascii="宋体" w:hAnsi="宋体" w:eastAsia="宋体" w:cs="宋体"/>
        </w:rPr>
        <w:t xml:space="preserve">(九) </w:t>
      </w:r>
      <w:r>
        <w:rPr>
          <w:rFonts w:hint="eastAsia" w:cs="宋体"/>
          <w:highlight w:val="none"/>
        </w:rPr>
        <w:t>验收</w:t>
      </w:r>
      <w:r>
        <w:tab/>
      </w:r>
      <w:r>
        <w:fldChar w:fldCharType="begin"/>
      </w:r>
      <w:r>
        <w:instrText xml:space="preserve"> PAGEREF _Toc25906 \h </w:instrText>
      </w:r>
      <w:r>
        <w:fldChar w:fldCharType="separate"/>
      </w:r>
      <w:r>
        <w:t>24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_Toc11040 </w:instrText>
      </w:r>
      <w:r>
        <w:rPr>
          <w:highlight w:val="none"/>
        </w:rPr>
        <w:fldChar w:fldCharType="separate"/>
      </w:r>
      <w:r>
        <w:rPr>
          <w:rFonts w:hint="eastAsia" w:ascii="宋体" w:hAnsi="宋体" w:eastAsia="宋体" w:cs="宋体"/>
        </w:rPr>
        <w:t xml:space="preserve">(十) </w:t>
      </w:r>
      <w:r>
        <w:rPr>
          <w:rFonts w:hint="eastAsia" w:cs="宋体"/>
          <w:highlight w:val="none"/>
        </w:rPr>
        <w:t>资金支付方式、时间、条件</w:t>
      </w:r>
      <w:r>
        <w:tab/>
      </w:r>
      <w:r>
        <w:fldChar w:fldCharType="begin"/>
      </w:r>
      <w:r>
        <w:instrText xml:space="preserve"> PAGEREF _Toc11040 \h </w:instrText>
      </w:r>
      <w:r>
        <w:fldChar w:fldCharType="separate"/>
      </w:r>
      <w:r>
        <w:t>24</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_Toc7804 </w:instrText>
      </w:r>
      <w:r>
        <w:rPr>
          <w:highlight w:val="none"/>
        </w:rPr>
        <w:fldChar w:fldCharType="separate"/>
      </w:r>
      <w:r>
        <w:rPr>
          <w:rFonts w:hint="eastAsia"/>
        </w:rPr>
        <w:t xml:space="preserve">七、 </w:t>
      </w:r>
      <w:r>
        <w:rPr>
          <w:rFonts w:hint="eastAsia"/>
          <w:highlight w:val="none"/>
        </w:rPr>
        <w:t>投标纪律要求</w:t>
      </w:r>
      <w:r>
        <w:tab/>
      </w:r>
      <w:r>
        <w:fldChar w:fldCharType="begin"/>
      </w:r>
      <w:r>
        <w:instrText xml:space="preserve"> PAGEREF _Toc7804 \h </w:instrText>
      </w:r>
      <w:r>
        <w:fldChar w:fldCharType="separate"/>
      </w:r>
      <w:r>
        <w:t>24</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_Toc23393 </w:instrText>
      </w:r>
      <w:r>
        <w:rPr>
          <w:highlight w:val="none"/>
        </w:rPr>
        <w:fldChar w:fldCharType="separate"/>
      </w:r>
      <w:r>
        <w:rPr>
          <w:rFonts w:hint="eastAsia"/>
        </w:rPr>
        <w:t xml:space="preserve">八、 </w:t>
      </w:r>
      <w:r>
        <w:rPr>
          <w:rFonts w:hint="eastAsia"/>
          <w:highlight w:val="none"/>
        </w:rPr>
        <w:t>其他</w:t>
      </w:r>
      <w:r>
        <w:tab/>
      </w:r>
      <w:r>
        <w:fldChar w:fldCharType="begin"/>
      </w:r>
      <w:r>
        <w:instrText xml:space="preserve"> PAGEREF _Toc23393 \h </w:instrText>
      </w:r>
      <w:r>
        <w:fldChar w:fldCharType="separate"/>
      </w:r>
      <w:r>
        <w:t>25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_Toc27760 </w:instrText>
      </w:r>
      <w:r>
        <w:rPr>
          <w:highlight w:val="none"/>
        </w:rPr>
        <w:fldChar w:fldCharType="separate"/>
      </w:r>
      <w:r>
        <w:rPr>
          <w:rFonts w:hint="eastAsia" w:ascii="宋体" w:hAnsi="宋体" w:eastAsia="宋体" w:cs="宋体"/>
        </w:rPr>
        <w:t xml:space="preserve">(一) </w:t>
      </w:r>
      <w:r>
        <w:rPr>
          <w:rFonts w:hint="eastAsia"/>
          <w:highlight w:val="none"/>
        </w:rPr>
        <w:t>询问、质疑和投诉</w:t>
      </w:r>
      <w:r>
        <w:tab/>
      </w:r>
      <w:r>
        <w:fldChar w:fldCharType="begin"/>
      </w:r>
      <w:r>
        <w:instrText xml:space="preserve"> PAGEREF _Toc27760 \h </w:instrText>
      </w:r>
      <w:r>
        <w:fldChar w:fldCharType="separate"/>
      </w:r>
      <w:r>
        <w:t>25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_Toc31739 </w:instrText>
      </w:r>
      <w:r>
        <w:rPr>
          <w:highlight w:val="none"/>
        </w:rPr>
        <w:fldChar w:fldCharType="separate"/>
      </w:r>
      <w:r>
        <w:rPr>
          <w:rFonts w:hint="eastAsia" w:ascii="宋体" w:hAnsi="宋体" w:eastAsia="宋体" w:cs="宋体"/>
        </w:rPr>
        <w:t xml:space="preserve">(二) </w:t>
      </w:r>
      <w:r>
        <w:rPr>
          <w:rFonts w:hint="eastAsia"/>
          <w:highlight w:val="none"/>
        </w:rPr>
        <w:t>关于行贿犯罪档案查询工作的规定</w:t>
      </w:r>
      <w:r>
        <w:tab/>
      </w:r>
      <w:r>
        <w:fldChar w:fldCharType="begin"/>
      </w:r>
      <w:r>
        <w:instrText xml:space="preserve"> PAGEREF _Toc31739 \h </w:instrText>
      </w:r>
      <w:r>
        <w:fldChar w:fldCharType="separate"/>
      </w:r>
      <w:r>
        <w:t>25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_Toc30567 </w:instrText>
      </w:r>
      <w:r>
        <w:rPr>
          <w:highlight w:val="none"/>
        </w:rPr>
        <w:fldChar w:fldCharType="separate"/>
      </w:r>
      <w:r>
        <w:rPr>
          <w:rFonts w:hint="eastAsia" w:ascii="宋体" w:hAnsi="宋体" w:eastAsia="宋体" w:cs="宋体"/>
        </w:rPr>
        <w:t xml:space="preserve">(三) </w:t>
      </w:r>
      <w:r>
        <w:rPr>
          <w:rFonts w:hint="eastAsia"/>
          <w:highlight w:val="none"/>
        </w:rPr>
        <w:t>串通投标的情形</w:t>
      </w:r>
      <w:r>
        <w:tab/>
      </w:r>
      <w:r>
        <w:fldChar w:fldCharType="begin"/>
      </w:r>
      <w:r>
        <w:instrText xml:space="preserve"> PAGEREF _Toc30567 \h </w:instrText>
      </w:r>
      <w:r>
        <w:fldChar w:fldCharType="separate"/>
      </w:r>
      <w:r>
        <w:t>25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_Toc28783 </w:instrText>
      </w:r>
      <w:r>
        <w:rPr>
          <w:highlight w:val="none"/>
        </w:rPr>
        <w:fldChar w:fldCharType="separate"/>
      </w:r>
      <w:r>
        <w:rPr>
          <w:rFonts w:hint="eastAsia" w:ascii="宋体" w:hAnsi="宋体" w:eastAsia="宋体" w:cs="宋体"/>
        </w:rPr>
        <w:t xml:space="preserve">(四) </w:t>
      </w:r>
      <w:r>
        <w:rPr>
          <w:rFonts w:hint="eastAsia"/>
          <w:highlight w:val="none"/>
        </w:rPr>
        <w:t>投标人信用信息查询</w:t>
      </w:r>
      <w:r>
        <w:tab/>
      </w:r>
      <w:r>
        <w:fldChar w:fldCharType="begin"/>
      </w:r>
      <w:r>
        <w:instrText xml:space="preserve"> PAGEREF _Toc28783 \h </w:instrText>
      </w:r>
      <w:r>
        <w:fldChar w:fldCharType="separate"/>
      </w:r>
      <w:r>
        <w:t>25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_Toc18206 </w:instrText>
      </w:r>
      <w:r>
        <w:rPr>
          <w:highlight w:val="none"/>
        </w:rPr>
        <w:fldChar w:fldCharType="separate"/>
      </w:r>
      <w:r>
        <w:rPr>
          <w:rFonts w:hint="eastAsia" w:ascii="宋体" w:hAnsi="宋体" w:eastAsia="宋体" w:cs="宋体"/>
        </w:rPr>
        <w:t xml:space="preserve">(五) </w:t>
      </w:r>
      <w:r>
        <w:rPr>
          <w:rFonts w:hint="eastAsia"/>
          <w:highlight w:val="none"/>
        </w:rPr>
        <w:t>保密</w:t>
      </w:r>
      <w:r>
        <w:tab/>
      </w:r>
      <w:r>
        <w:fldChar w:fldCharType="begin"/>
      </w:r>
      <w:r>
        <w:instrText xml:space="preserve"> PAGEREF _Toc18206 \h </w:instrText>
      </w:r>
      <w:r>
        <w:fldChar w:fldCharType="separate"/>
      </w:r>
      <w:r>
        <w:t>25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_Toc12968 </w:instrText>
      </w:r>
      <w:r>
        <w:rPr>
          <w:highlight w:val="none"/>
        </w:rPr>
        <w:fldChar w:fldCharType="separate"/>
      </w:r>
      <w:r>
        <w:rPr>
          <w:rFonts w:hint="eastAsia" w:ascii="宋体" w:hAnsi="宋体" w:eastAsia="宋体" w:cs="宋体"/>
        </w:rPr>
        <w:t xml:space="preserve">(六) </w:t>
      </w:r>
      <w:r>
        <w:rPr>
          <w:rFonts w:hint="eastAsia"/>
          <w:highlight w:val="none"/>
        </w:rPr>
        <w:t>回避</w:t>
      </w:r>
      <w:r>
        <w:tab/>
      </w:r>
      <w:r>
        <w:fldChar w:fldCharType="begin"/>
      </w:r>
      <w:r>
        <w:instrText xml:space="preserve"> PAGEREF _Toc12968 \h </w:instrText>
      </w:r>
      <w:r>
        <w:fldChar w:fldCharType="separate"/>
      </w:r>
      <w:r>
        <w:t>26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_Toc17015 </w:instrText>
      </w:r>
      <w:r>
        <w:rPr>
          <w:highlight w:val="none"/>
        </w:rPr>
        <w:fldChar w:fldCharType="separate"/>
      </w:r>
      <w:r>
        <w:rPr>
          <w:rFonts w:hint="eastAsia" w:ascii="宋体" w:hAnsi="宋体" w:eastAsia="宋体" w:cs="宋体"/>
        </w:rPr>
        <w:t xml:space="preserve">(七) </w:t>
      </w:r>
      <w:r>
        <w:rPr>
          <w:rFonts w:hint="eastAsia"/>
          <w:highlight w:val="none"/>
        </w:rPr>
        <w:t>解释说明</w:t>
      </w:r>
      <w:r>
        <w:tab/>
      </w:r>
      <w:r>
        <w:fldChar w:fldCharType="begin"/>
      </w:r>
      <w:r>
        <w:instrText xml:space="preserve"> PAGEREF _Toc17015 \h </w:instrText>
      </w:r>
      <w:r>
        <w:fldChar w:fldCharType="separate"/>
      </w:r>
      <w:r>
        <w:t>26</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_Toc30772 </w:instrText>
      </w:r>
      <w:r>
        <w:rPr>
          <w:highlight w:val="none"/>
        </w:rPr>
        <w:fldChar w:fldCharType="separate"/>
      </w:r>
      <w:r>
        <w:rPr>
          <w:rFonts w:hint="eastAsia" w:ascii="宋体" w:hAnsi="宋体" w:eastAsia="宋体" w:cs="宋体"/>
        </w:rPr>
        <w:t xml:space="preserve">第三章 </w:t>
      </w:r>
      <w:r>
        <w:rPr>
          <w:rFonts w:hint="eastAsia"/>
          <w:highlight w:val="none"/>
        </w:rPr>
        <w:t>投标文件格式</w:t>
      </w:r>
      <w:r>
        <w:tab/>
      </w:r>
      <w:r>
        <w:fldChar w:fldCharType="begin"/>
      </w:r>
      <w:r>
        <w:instrText xml:space="preserve"> PAGEREF _Toc30772 \h </w:instrText>
      </w:r>
      <w:r>
        <w:fldChar w:fldCharType="separate"/>
      </w:r>
      <w:r>
        <w:t>27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_Toc21038 </w:instrText>
      </w:r>
      <w:r>
        <w:rPr>
          <w:highlight w:val="none"/>
        </w:rPr>
        <w:fldChar w:fldCharType="separate"/>
      </w:r>
      <w:r>
        <w:rPr>
          <w:rFonts w:hint="eastAsia"/>
          <w:szCs w:val="32"/>
          <w:highlight w:val="none"/>
        </w:rPr>
        <w:t>第一部分 资格、资质性及其他类似效力投标文件(格式)</w:t>
      </w:r>
      <w:r>
        <w:tab/>
      </w:r>
      <w:r>
        <w:fldChar w:fldCharType="begin"/>
      </w:r>
      <w:r>
        <w:instrText xml:space="preserve"> PAGEREF _Toc21038 \h </w:instrText>
      </w:r>
      <w:r>
        <w:fldChar w:fldCharType="separate"/>
      </w:r>
      <w:r>
        <w:t>30</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_Toc4768 </w:instrText>
      </w:r>
      <w:r>
        <w:rPr>
          <w:highlight w:val="none"/>
        </w:rPr>
        <w:fldChar w:fldCharType="separate"/>
      </w:r>
      <w:r>
        <w:rPr>
          <w:rFonts w:hint="eastAsia"/>
        </w:rPr>
        <w:t xml:space="preserve">一、 </w:t>
      </w:r>
      <w:r>
        <w:rPr>
          <w:rFonts w:hint="eastAsia"/>
          <w:highlight w:val="none"/>
        </w:rPr>
        <w:t>法定代表人/单位负责人授权书</w:t>
      </w:r>
      <w:r>
        <w:tab/>
      </w:r>
      <w:r>
        <w:fldChar w:fldCharType="begin"/>
      </w:r>
      <w:r>
        <w:instrText xml:space="preserve"> PAGEREF _Toc4768 \h </w:instrText>
      </w:r>
      <w:r>
        <w:fldChar w:fldCharType="separate"/>
      </w:r>
      <w:r>
        <w:t>31</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_Toc26195 </w:instrText>
      </w:r>
      <w:r>
        <w:rPr>
          <w:highlight w:val="none"/>
        </w:rPr>
        <w:fldChar w:fldCharType="separate"/>
      </w:r>
      <w:r>
        <w:rPr>
          <w:rFonts w:hint="eastAsia"/>
        </w:rPr>
        <w:t xml:space="preserve">一、 </w:t>
      </w:r>
      <w:r>
        <w:rPr>
          <w:rFonts w:hint="eastAsia"/>
          <w:highlight w:val="none"/>
        </w:rPr>
        <w:t>法定代表人/单位负责人证明书</w:t>
      </w:r>
      <w:r>
        <w:tab/>
      </w:r>
      <w:r>
        <w:fldChar w:fldCharType="begin"/>
      </w:r>
      <w:r>
        <w:instrText xml:space="preserve"> PAGEREF _Toc26195 \h </w:instrText>
      </w:r>
      <w:r>
        <w:fldChar w:fldCharType="separate"/>
      </w:r>
      <w:r>
        <w:t>32</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_Toc27535 </w:instrText>
      </w:r>
      <w:r>
        <w:rPr>
          <w:highlight w:val="none"/>
        </w:rPr>
        <w:fldChar w:fldCharType="separate"/>
      </w:r>
      <w:r>
        <w:rPr>
          <w:rFonts w:hint="eastAsia"/>
        </w:rPr>
        <w:t xml:space="preserve">二、 </w:t>
      </w:r>
      <w:r>
        <w:rPr>
          <w:rFonts w:hint="eastAsia"/>
          <w:highlight w:val="none"/>
        </w:rPr>
        <w:t>具有独立承担民事责任的能力的证明材料</w:t>
      </w:r>
      <w:r>
        <w:tab/>
      </w:r>
      <w:r>
        <w:fldChar w:fldCharType="begin"/>
      </w:r>
      <w:r>
        <w:instrText xml:space="preserve"> PAGEREF _Toc27535 \h </w:instrText>
      </w:r>
      <w:r>
        <w:fldChar w:fldCharType="separate"/>
      </w:r>
      <w:r>
        <w:t>33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_Toc23693 </w:instrText>
      </w:r>
      <w:r>
        <w:rPr>
          <w:highlight w:val="none"/>
        </w:rPr>
        <w:fldChar w:fldCharType="separate"/>
      </w:r>
      <w:r>
        <w:rPr>
          <w:rFonts w:hint="eastAsia"/>
        </w:rPr>
        <w:t xml:space="preserve">三、 </w:t>
      </w:r>
      <w:r>
        <w:rPr>
          <w:rFonts w:hint="eastAsia"/>
          <w:highlight w:val="none"/>
        </w:rPr>
        <w:t>投标人具有良好的商业信誉和健全的财务会计制度的证明材料</w:t>
      </w:r>
      <w:r>
        <w:tab/>
      </w:r>
      <w:r>
        <w:fldChar w:fldCharType="begin"/>
      </w:r>
      <w:r>
        <w:instrText xml:space="preserve"> PAGEREF _Toc23693 \h </w:instrText>
      </w:r>
      <w:r>
        <w:fldChar w:fldCharType="separate"/>
      </w:r>
      <w:r>
        <w:t>34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_Toc17007 </w:instrText>
      </w:r>
      <w:r>
        <w:rPr>
          <w:highlight w:val="none"/>
        </w:rPr>
        <w:fldChar w:fldCharType="separate"/>
      </w:r>
      <w:r>
        <w:rPr>
          <w:rFonts w:hint="eastAsia"/>
        </w:rPr>
        <w:t xml:space="preserve">四、 </w:t>
      </w:r>
      <w:r>
        <w:rPr>
          <w:rFonts w:hint="eastAsia"/>
          <w:highlight w:val="none"/>
        </w:rPr>
        <w:t>投标人具有依法缴纳税收和社会保障资金的良好记录的证明材料</w:t>
      </w:r>
      <w:r>
        <w:tab/>
      </w:r>
      <w:r>
        <w:fldChar w:fldCharType="begin"/>
      </w:r>
      <w:r>
        <w:instrText xml:space="preserve"> PAGEREF _Toc17007 \h </w:instrText>
      </w:r>
      <w:r>
        <w:fldChar w:fldCharType="separate"/>
      </w:r>
      <w:r>
        <w:t>35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_Toc30059 </w:instrText>
      </w:r>
      <w:r>
        <w:rPr>
          <w:highlight w:val="none"/>
        </w:rPr>
        <w:fldChar w:fldCharType="separate"/>
      </w:r>
      <w:r>
        <w:rPr>
          <w:rFonts w:hint="eastAsia"/>
        </w:rPr>
        <w:t xml:space="preserve">五、 </w:t>
      </w:r>
      <w:r>
        <w:rPr>
          <w:rFonts w:hint="eastAsia"/>
          <w:highlight w:val="none"/>
        </w:rPr>
        <w:t>投标人具有履行合同所必需的设备和专业技术能力证明材料</w:t>
      </w:r>
      <w:r>
        <w:tab/>
      </w:r>
      <w:r>
        <w:fldChar w:fldCharType="begin"/>
      </w:r>
      <w:r>
        <w:instrText xml:space="preserve"> PAGEREF _Toc30059 \h </w:instrText>
      </w:r>
      <w:r>
        <w:fldChar w:fldCharType="separate"/>
      </w:r>
      <w:r>
        <w:t>36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_Toc16639 </w:instrText>
      </w:r>
      <w:r>
        <w:rPr>
          <w:highlight w:val="none"/>
        </w:rPr>
        <w:fldChar w:fldCharType="separate"/>
      </w:r>
      <w:r>
        <w:rPr>
          <w:rFonts w:hint="eastAsia"/>
        </w:rPr>
        <w:t xml:space="preserve">六、 </w:t>
      </w:r>
      <w:r>
        <w:rPr>
          <w:rFonts w:hint="eastAsia"/>
          <w:highlight w:val="none"/>
        </w:rPr>
        <w:t>投标人参加政府采购活动前三年内，在经营活动中没有重大违法记录的证明材料</w:t>
      </w:r>
      <w:r>
        <w:tab/>
      </w:r>
      <w:r>
        <w:fldChar w:fldCharType="begin"/>
      </w:r>
      <w:r>
        <w:instrText xml:space="preserve"> PAGEREF _Toc16639 \h </w:instrText>
      </w:r>
      <w:r>
        <w:fldChar w:fldCharType="separate"/>
      </w:r>
      <w:r>
        <w:t>37</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_Toc14677 </w:instrText>
      </w:r>
      <w:r>
        <w:rPr>
          <w:highlight w:val="none"/>
        </w:rPr>
        <w:fldChar w:fldCharType="separate"/>
      </w:r>
      <w:r>
        <w:rPr>
          <w:rFonts w:hint="eastAsia"/>
          <w:lang w:val="zh-CN"/>
        </w:rPr>
        <w:t xml:space="preserve">七、 </w:t>
      </w:r>
      <w:r>
        <w:rPr>
          <w:rFonts w:hint="eastAsia"/>
          <w:highlight w:val="none"/>
        </w:rPr>
        <w:t>投标人</w:t>
      </w:r>
      <w:r>
        <w:rPr>
          <w:rFonts w:hint="eastAsia"/>
          <w:highlight w:val="none"/>
          <w:lang w:val="zh-CN"/>
        </w:rPr>
        <w:t>及其现任法定代表人、主要负责人不得具有行贿犯罪记录</w:t>
      </w:r>
      <w:r>
        <w:rPr>
          <w:rFonts w:hint="eastAsia"/>
          <w:highlight w:val="none"/>
        </w:rPr>
        <w:t>的承诺函</w:t>
      </w:r>
      <w:r>
        <w:tab/>
      </w:r>
      <w:r>
        <w:fldChar w:fldCharType="begin"/>
      </w:r>
      <w:r>
        <w:instrText xml:space="preserve"> PAGEREF _Toc14677 \h </w:instrText>
      </w:r>
      <w:r>
        <w:fldChar w:fldCharType="separate"/>
      </w:r>
      <w:r>
        <w:t>38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_Toc29137 </w:instrText>
      </w:r>
      <w:r>
        <w:rPr>
          <w:highlight w:val="none"/>
        </w:rPr>
        <w:fldChar w:fldCharType="separate"/>
      </w:r>
      <w:r>
        <w:rPr>
          <w:rFonts w:hint="eastAsia"/>
        </w:rPr>
        <w:t xml:space="preserve">八、 </w:t>
      </w:r>
      <w:r>
        <w:rPr>
          <w:rFonts w:hint="eastAsia"/>
          <w:highlight w:val="none"/>
        </w:rPr>
        <w:t>根据采购项目的特殊要求，供应商提供具有特定条件的证明材料</w:t>
      </w:r>
      <w:r>
        <w:tab/>
      </w:r>
      <w:r>
        <w:fldChar w:fldCharType="begin"/>
      </w:r>
      <w:r>
        <w:instrText xml:space="preserve"> PAGEREF _Toc29137 \h </w:instrText>
      </w:r>
      <w:r>
        <w:fldChar w:fldCharType="separate"/>
      </w:r>
      <w:r>
        <w:t>39</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_Toc28958 </w:instrText>
      </w:r>
      <w:r>
        <w:rPr>
          <w:highlight w:val="none"/>
        </w:rPr>
        <w:fldChar w:fldCharType="separate"/>
      </w:r>
      <w:r>
        <w:rPr>
          <w:rFonts w:hint="eastAsia"/>
        </w:rPr>
        <w:t xml:space="preserve">九、 </w:t>
      </w:r>
      <w:r>
        <w:rPr>
          <w:rFonts w:hint="eastAsia"/>
          <w:highlight w:val="none"/>
        </w:rPr>
        <w:t>符合《中华人民共和国政府采购法》第二十二条规定的条件的承诺及声明函</w:t>
      </w:r>
      <w:r>
        <w:tab/>
      </w:r>
      <w:r>
        <w:fldChar w:fldCharType="begin"/>
      </w:r>
      <w:r>
        <w:instrText xml:space="preserve"> PAGEREF _Toc28958 \h </w:instrText>
      </w:r>
      <w:r>
        <w:fldChar w:fldCharType="separate"/>
      </w:r>
      <w:r>
        <w:t>40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_Toc16963 </w:instrText>
      </w:r>
      <w:r>
        <w:rPr>
          <w:highlight w:val="none"/>
        </w:rPr>
        <w:fldChar w:fldCharType="separate"/>
      </w:r>
      <w:r>
        <w:rPr>
          <w:rFonts w:hint="eastAsia"/>
          <w:szCs w:val="32"/>
          <w:highlight w:val="none"/>
        </w:rPr>
        <w:t>第二部分 其他投标文件(格式)</w:t>
      </w:r>
      <w:r>
        <w:tab/>
      </w:r>
      <w:r>
        <w:fldChar w:fldCharType="begin"/>
      </w:r>
      <w:r>
        <w:instrText xml:space="preserve"> PAGEREF _Toc16963 \h </w:instrText>
      </w:r>
      <w:r>
        <w:fldChar w:fldCharType="separate"/>
      </w:r>
      <w:r>
        <w:t>41</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_Toc25251 </w:instrText>
      </w:r>
      <w:r>
        <w:rPr>
          <w:highlight w:val="none"/>
        </w:rPr>
        <w:fldChar w:fldCharType="separate"/>
      </w:r>
      <w:r>
        <w:rPr>
          <w:rFonts w:hint="eastAsia"/>
        </w:rPr>
        <w:t xml:space="preserve">一、 </w:t>
      </w:r>
      <w:r>
        <w:rPr>
          <w:rFonts w:hint="eastAsia"/>
          <w:highlight w:val="none"/>
        </w:rPr>
        <w:t>投标函</w:t>
      </w:r>
      <w:r>
        <w:tab/>
      </w:r>
      <w:r>
        <w:fldChar w:fldCharType="begin"/>
      </w:r>
      <w:r>
        <w:instrText xml:space="preserve"> PAGEREF _Toc25251 \h </w:instrText>
      </w:r>
      <w:r>
        <w:fldChar w:fldCharType="separate"/>
      </w:r>
      <w:r>
        <w:t>42</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_Toc843 </w:instrText>
      </w:r>
      <w:r>
        <w:rPr>
          <w:highlight w:val="none"/>
        </w:rPr>
        <w:fldChar w:fldCharType="separate"/>
      </w:r>
      <w:r>
        <w:rPr>
          <w:rFonts w:hint="eastAsia"/>
        </w:rPr>
        <w:t xml:space="preserve">二、 </w:t>
      </w:r>
      <w:r>
        <w:rPr>
          <w:rFonts w:hint="eastAsia"/>
          <w:highlight w:val="none"/>
        </w:rPr>
        <w:t>实质性要求承诺</w:t>
      </w:r>
      <w:r>
        <w:tab/>
      </w:r>
      <w:r>
        <w:fldChar w:fldCharType="begin"/>
      </w:r>
      <w:r>
        <w:instrText xml:space="preserve"> PAGEREF _Toc843 \h </w:instrText>
      </w:r>
      <w:r>
        <w:fldChar w:fldCharType="separate"/>
      </w:r>
      <w:r>
        <w:t>43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_Toc9324 </w:instrText>
      </w:r>
      <w:r>
        <w:rPr>
          <w:highlight w:val="none"/>
        </w:rPr>
        <w:fldChar w:fldCharType="separate"/>
      </w:r>
      <w:r>
        <w:rPr>
          <w:rFonts w:hint="eastAsia"/>
        </w:rPr>
        <w:t xml:space="preserve">三、 </w:t>
      </w:r>
      <w:r>
        <w:rPr>
          <w:rFonts w:hint="eastAsia"/>
          <w:highlight w:val="none"/>
        </w:rPr>
        <w:t>投标人基本情况表</w:t>
      </w:r>
      <w:r>
        <w:tab/>
      </w:r>
      <w:r>
        <w:fldChar w:fldCharType="begin"/>
      </w:r>
      <w:r>
        <w:instrText xml:space="preserve"> PAGEREF _Toc9324 \h </w:instrText>
      </w:r>
      <w:r>
        <w:fldChar w:fldCharType="separate"/>
      </w:r>
      <w:r>
        <w:t>45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_Toc24171 </w:instrText>
      </w:r>
      <w:r>
        <w:rPr>
          <w:highlight w:val="none"/>
        </w:rPr>
        <w:fldChar w:fldCharType="separate"/>
      </w:r>
      <w:r>
        <w:rPr>
          <w:rFonts w:hint="eastAsia"/>
        </w:rPr>
        <w:t xml:space="preserve">四、 </w:t>
      </w:r>
      <w:r>
        <w:rPr>
          <w:rFonts w:hint="eastAsia"/>
          <w:highlight w:val="none"/>
        </w:rPr>
        <w:t>开标一览表</w:t>
      </w:r>
      <w:r>
        <w:tab/>
      </w:r>
      <w:r>
        <w:fldChar w:fldCharType="begin"/>
      </w:r>
      <w:r>
        <w:instrText xml:space="preserve"> PAGEREF _Toc24171 \h </w:instrText>
      </w:r>
      <w:r>
        <w:fldChar w:fldCharType="separate"/>
      </w:r>
      <w:r>
        <w:t>46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_Toc9272 </w:instrText>
      </w:r>
      <w:r>
        <w:rPr>
          <w:highlight w:val="none"/>
        </w:rPr>
        <w:fldChar w:fldCharType="separate"/>
      </w:r>
      <w:r>
        <w:rPr>
          <w:rFonts w:hint="eastAsia"/>
        </w:rPr>
        <w:t xml:space="preserve">五、 </w:t>
      </w:r>
      <w:r>
        <w:rPr>
          <w:rFonts w:hint="eastAsia"/>
          <w:highlight w:val="none"/>
        </w:rPr>
        <w:t>分项报价明细表</w:t>
      </w:r>
      <w:r>
        <w:tab/>
      </w:r>
      <w:r>
        <w:fldChar w:fldCharType="begin"/>
      </w:r>
      <w:r>
        <w:instrText xml:space="preserve"> PAGEREF _Toc9272 \h </w:instrText>
      </w:r>
      <w:r>
        <w:fldChar w:fldCharType="separate"/>
      </w:r>
      <w:r>
        <w:t>48</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_Toc21414 </w:instrText>
      </w:r>
      <w:r>
        <w:rPr>
          <w:highlight w:val="none"/>
        </w:rPr>
        <w:fldChar w:fldCharType="separate"/>
      </w:r>
      <w:r>
        <w:rPr>
          <w:rFonts w:hint="eastAsia"/>
        </w:rPr>
        <w:t xml:space="preserve">六、 </w:t>
      </w:r>
      <w:r>
        <w:rPr>
          <w:rFonts w:hint="eastAsia"/>
          <w:highlight w:val="none"/>
        </w:rPr>
        <w:t>商务应答表</w:t>
      </w:r>
      <w:r>
        <w:tab/>
      </w:r>
      <w:r>
        <w:fldChar w:fldCharType="begin"/>
      </w:r>
      <w:r>
        <w:instrText xml:space="preserve"> PAGEREF _Toc21414 \h </w:instrText>
      </w:r>
      <w:r>
        <w:fldChar w:fldCharType="separate"/>
      </w:r>
      <w:r>
        <w:t>49</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_Toc28238 </w:instrText>
      </w:r>
      <w:r>
        <w:rPr>
          <w:highlight w:val="none"/>
        </w:rPr>
        <w:fldChar w:fldCharType="separate"/>
      </w:r>
      <w:r>
        <w:rPr>
          <w:rFonts w:hint="eastAsia"/>
        </w:rPr>
        <w:t xml:space="preserve">七、 </w:t>
      </w:r>
      <w:r>
        <w:rPr>
          <w:rFonts w:hint="eastAsia"/>
          <w:highlight w:val="none"/>
        </w:rPr>
        <w:t>投标产品技术参数应答表</w:t>
      </w:r>
      <w:r>
        <w:tab/>
      </w:r>
      <w:r>
        <w:fldChar w:fldCharType="begin"/>
      </w:r>
      <w:r>
        <w:instrText xml:space="preserve"> PAGEREF _Toc28238 \h </w:instrText>
      </w:r>
      <w:r>
        <w:fldChar w:fldCharType="separate"/>
      </w:r>
      <w:r>
        <w:t>50</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_Toc24874 </w:instrText>
      </w:r>
      <w:r>
        <w:rPr>
          <w:highlight w:val="none"/>
        </w:rPr>
        <w:fldChar w:fldCharType="separate"/>
      </w:r>
      <w:r>
        <w:rPr>
          <w:rFonts w:hint="eastAsia"/>
        </w:rPr>
        <w:t xml:space="preserve">八、 </w:t>
      </w:r>
      <w:r>
        <w:rPr>
          <w:rFonts w:hint="eastAsia"/>
          <w:highlight w:val="none"/>
        </w:rPr>
        <w:t>履约能力及相关证明</w:t>
      </w:r>
      <w:r>
        <w:tab/>
      </w:r>
      <w:r>
        <w:fldChar w:fldCharType="begin"/>
      </w:r>
      <w:r>
        <w:instrText xml:space="preserve"> PAGEREF _Toc24874 \h </w:instrText>
      </w:r>
      <w:r>
        <w:fldChar w:fldCharType="separate"/>
      </w:r>
      <w:r>
        <w:t>51</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_Toc18184 </w:instrText>
      </w:r>
      <w:r>
        <w:rPr>
          <w:highlight w:val="none"/>
        </w:rPr>
        <w:fldChar w:fldCharType="separate"/>
      </w:r>
      <w:r>
        <w:rPr>
          <w:rFonts w:hint="eastAsia"/>
        </w:rPr>
        <w:t xml:space="preserve">九、 </w:t>
      </w:r>
      <w:r>
        <w:rPr>
          <w:rFonts w:hint="eastAsia"/>
          <w:highlight w:val="none"/>
        </w:rPr>
        <w:t>投标人针对本项目人员配置情况表</w:t>
      </w:r>
      <w:r>
        <w:tab/>
      </w:r>
      <w:r>
        <w:fldChar w:fldCharType="begin"/>
      </w:r>
      <w:r>
        <w:instrText xml:space="preserve"> PAGEREF _Toc18184 \h </w:instrText>
      </w:r>
      <w:r>
        <w:fldChar w:fldCharType="separate"/>
      </w:r>
      <w:r>
        <w:t>52</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_Toc14679 </w:instrText>
      </w:r>
      <w:r>
        <w:rPr>
          <w:highlight w:val="none"/>
        </w:rPr>
        <w:fldChar w:fldCharType="separate"/>
      </w:r>
      <w:r>
        <w:rPr>
          <w:rFonts w:hint="eastAsia"/>
        </w:rPr>
        <w:t xml:space="preserve">十、 </w:t>
      </w:r>
      <w:r>
        <w:rPr>
          <w:rFonts w:hint="eastAsia"/>
          <w:highlight w:val="none"/>
        </w:rPr>
        <w:t>小微企业、监狱企业、残疾人福利性单位价格扣除</w:t>
      </w:r>
      <w:r>
        <w:tab/>
      </w:r>
      <w:r>
        <w:fldChar w:fldCharType="begin"/>
      </w:r>
      <w:r>
        <w:instrText xml:space="preserve"> PAGEREF _Toc14679 \h </w:instrText>
      </w:r>
      <w:r>
        <w:fldChar w:fldCharType="separate"/>
      </w:r>
      <w:r>
        <w:t>53</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_Toc21853 </w:instrText>
      </w:r>
      <w:r>
        <w:rPr>
          <w:highlight w:val="none"/>
        </w:rPr>
        <w:fldChar w:fldCharType="separate"/>
      </w:r>
      <w:r>
        <w:rPr>
          <w:rFonts w:hint="eastAsia"/>
          <w:highlight w:val="none"/>
        </w:rPr>
        <w:t>(一)中小企业声明函（货物）</w:t>
      </w:r>
      <w:r>
        <w:tab/>
      </w:r>
      <w:r>
        <w:fldChar w:fldCharType="begin"/>
      </w:r>
      <w:r>
        <w:instrText xml:space="preserve"> PAGEREF _Toc21853 \h </w:instrText>
      </w:r>
      <w:r>
        <w:fldChar w:fldCharType="separate"/>
      </w:r>
      <w:r>
        <w:t>54</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_Toc2767 </w:instrText>
      </w:r>
      <w:r>
        <w:rPr>
          <w:highlight w:val="none"/>
        </w:rPr>
        <w:fldChar w:fldCharType="separate"/>
      </w:r>
      <w:r>
        <w:rPr>
          <w:rFonts w:hint="eastAsia"/>
          <w:highlight w:val="none"/>
        </w:rPr>
        <w:t>(二)监狱企业相关证明材料(如涉及)</w:t>
      </w:r>
      <w:r>
        <w:tab/>
      </w:r>
      <w:r>
        <w:fldChar w:fldCharType="begin"/>
      </w:r>
      <w:r>
        <w:instrText xml:space="preserve"> PAGEREF _Toc2767 \h </w:instrText>
      </w:r>
      <w:r>
        <w:fldChar w:fldCharType="separate"/>
      </w:r>
      <w:r>
        <w:t>55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_Toc30746 </w:instrText>
      </w:r>
      <w:r>
        <w:rPr>
          <w:highlight w:val="none"/>
        </w:rPr>
        <w:fldChar w:fldCharType="separate"/>
      </w:r>
      <w:r>
        <w:rPr>
          <w:rFonts w:hint="eastAsia"/>
          <w:highlight w:val="none"/>
        </w:rPr>
        <w:t>(三)残疾人福利性单位声明函(如涉及)</w:t>
      </w:r>
      <w:r>
        <w:tab/>
      </w:r>
      <w:r>
        <w:fldChar w:fldCharType="begin"/>
      </w:r>
      <w:r>
        <w:instrText xml:space="preserve"> PAGEREF _Toc30746 \h </w:instrText>
      </w:r>
      <w:r>
        <w:fldChar w:fldCharType="separate"/>
      </w:r>
      <w:r>
        <w:t>56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_Toc18629 </w:instrText>
      </w:r>
      <w:r>
        <w:rPr>
          <w:highlight w:val="none"/>
        </w:rPr>
        <w:fldChar w:fldCharType="separate"/>
      </w:r>
      <w:r>
        <w:rPr>
          <w:rFonts w:hint="eastAsia"/>
        </w:rPr>
        <w:t xml:space="preserve">十一、 </w:t>
      </w:r>
      <w:r>
        <w:rPr>
          <w:rFonts w:hint="eastAsia"/>
          <w:highlight w:val="none"/>
        </w:rPr>
        <w:t>商品包装、快递包装承诺函</w:t>
      </w:r>
      <w:r>
        <w:tab/>
      </w:r>
      <w:r>
        <w:fldChar w:fldCharType="begin"/>
      </w:r>
      <w:r>
        <w:instrText xml:space="preserve"> PAGEREF _Toc18629 \h </w:instrText>
      </w:r>
      <w:r>
        <w:fldChar w:fldCharType="separate"/>
      </w:r>
      <w:r>
        <w:t>57</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_Toc2256 </w:instrText>
      </w:r>
      <w:r>
        <w:rPr>
          <w:highlight w:val="none"/>
        </w:rPr>
        <w:fldChar w:fldCharType="separate"/>
      </w:r>
      <w:r>
        <w:rPr>
          <w:rFonts w:hint="eastAsia"/>
        </w:rPr>
        <w:t xml:space="preserve">十二、 </w:t>
      </w:r>
      <w:r>
        <w:rPr>
          <w:rFonts w:hint="eastAsia"/>
          <w:highlight w:val="none"/>
        </w:rPr>
        <w:t>招标代理服务费承诺函</w:t>
      </w:r>
      <w:r>
        <w:tab/>
      </w:r>
      <w:r>
        <w:fldChar w:fldCharType="begin"/>
      </w:r>
      <w:r>
        <w:instrText xml:space="preserve"> PAGEREF _Toc2256 \h </w:instrText>
      </w:r>
      <w:r>
        <w:fldChar w:fldCharType="separate"/>
      </w:r>
      <w:r>
        <w:t>58</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_Toc32628 </w:instrText>
      </w:r>
      <w:r>
        <w:rPr>
          <w:highlight w:val="none"/>
        </w:rPr>
        <w:fldChar w:fldCharType="separate"/>
      </w:r>
      <w:r>
        <w:rPr>
          <w:rFonts w:hint="eastAsia" w:ascii="宋体" w:hAnsi="宋体" w:eastAsia="宋体" w:cs="宋体"/>
          <w:w w:val="95"/>
        </w:rPr>
        <w:t xml:space="preserve">第四章 </w:t>
      </w:r>
      <w:r>
        <w:rPr>
          <w:rFonts w:hint="eastAsia"/>
          <w:w w:val="95"/>
          <w:highlight w:val="none"/>
        </w:rPr>
        <w:t>投标人和投标产品的资格、资质性及其他类似效力要求</w:t>
      </w:r>
      <w:r>
        <w:tab/>
      </w:r>
      <w:r>
        <w:fldChar w:fldCharType="begin"/>
      </w:r>
      <w:r>
        <w:instrText xml:space="preserve"> PAGEREF _Toc32628 \h </w:instrText>
      </w:r>
      <w:r>
        <w:fldChar w:fldCharType="separate"/>
      </w:r>
      <w:r>
        <w:t>59</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_Toc20587 </w:instrText>
      </w:r>
      <w:r>
        <w:rPr>
          <w:highlight w:val="none"/>
        </w:rPr>
        <w:fldChar w:fldCharType="separate"/>
      </w:r>
      <w:r>
        <w:rPr>
          <w:rFonts w:hint="eastAsia" w:ascii="宋体" w:hAnsi="宋体" w:eastAsia="宋体" w:cs="宋体"/>
          <w:lang w:val="zh-CN"/>
        </w:rPr>
        <w:t xml:space="preserve">一、 </w:t>
      </w:r>
      <w:r>
        <w:rPr>
          <w:rFonts w:hint="eastAsia"/>
          <w:highlight w:val="none"/>
        </w:rPr>
        <w:t>投标人资格、资质性及其他类似效力要求</w:t>
      </w:r>
      <w:r>
        <w:tab/>
      </w:r>
      <w:r>
        <w:fldChar w:fldCharType="begin"/>
      </w:r>
      <w:r>
        <w:instrText xml:space="preserve"> PAGEREF _Toc20587 \h </w:instrText>
      </w:r>
      <w:r>
        <w:fldChar w:fldCharType="separate"/>
      </w:r>
      <w:r>
        <w:t>59</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_Toc29519 </w:instrText>
      </w:r>
      <w:r>
        <w:rPr>
          <w:highlight w:val="none"/>
        </w:rP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_Toc29519 \h </w:instrText>
      </w:r>
      <w:r>
        <w:fldChar w:fldCharType="separate"/>
      </w:r>
      <w:r>
        <w:t>59</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_Toc27642 </w:instrText>
      </w:r>
      <w:r>
        <w:rPr>
          <w:highlight w:val="none"/>
        </w:rPr>
        <w:fldChar w:fldCharType="separate"/>
      </w:r>
      <w:r>
        <w:rPr>
          <w:rFonts w:hint="eastAsia" w:ascii="宋体" w:hAnsi="宋体" w:eastAsia="宋体" w:cs="宋体"/>
        </w:rPr>
        <w:t xml:space="preserve">三、 </w:t>
      </w:r>
      <w:r>
        <w:rPr>
          <w:rFonts w:hint="eastAsia"/>
          <w:highlight w:val="none"/>
        </w:rPr>
        <w:t>其他类似效力要求</w:t>
      </w:r>
      <w:r>
        <w:tab/>
      </w:r>
      <w:r>
        <w:fldChar w:fldCharType="begin"/>
      </w:r>
      <w:r>
        <w:instrText xml:space="preserve"> PAGEREF _Toc27642 \h </w:instrText>
      </w:r>
      <w:r>
        <w:fldChar w:fldCharType="separate"/>
      </w:r>
      <w:r>
        <w:t>59</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_Toc13801 </w:instrText>
      </w:r>
      <w:r>
        <w:rPr>
          <w:highlight w:val="none"/>
        </w:rPr>
        <w:fldChar w:fldCharType="separate"/>
      </w:r>
      <w:r>
        <w:rPr>
          <w:rFonts w:hint="eastAsia" w:ascii="宋体" w:hAnsi="宋体" w:eastAsia="宋体" w:cs="宋体"/>
        </w:rPr>
        <w:t xml:space="preserve">第五章 </w:t>
      </w:r>
      <w:r>
        <w:rPr>
          <w:rFonts w:hint="eastAsia"/>
          <w:highlight w:val="none"/>
        </w:rPr>
        <w:t>资格性审查内容</w:t>
      </w:r>
      <w:r>
        <w:tab/>
      </w:r>
      <w:r>
        <w:fldChar w:fldCharType="begin"/>
      </w:r>
      <w:r>
        <w:instrText xml:space="preserve"> PAGEREF _Toc13801 \h </w:instrText>
      </w:r>
      <w:r>
        <w:fldChar w:fldCharType="separate"/>
      </w:r>
      <w:r>
        <w:t>60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_Toc29817 </w:instrText>
      </w:r>
      <w:r>
        <w:rPr>
          <w:highlight w:val="none"/>
        </w:rPr>
        <w:fldChar w:fldCharType="separate"/>
      </w:r>
      <w:r>
        <w:rPr>
          <w:rFonts w:hint="eastAsia" w:ascii="宋体" w:hAnsi="宋体" w:eastAsia="宋体" w:cs="宋体"/>
        </w:rPr>
        <w:t xml:space="preserve">一、 </w:t>
      </w:r>
      <w:r>
        <w:rPr>
          <w:rFonts w:hint="eastAsia"/>
          <w:highlight w:val="none"/>
        </w:rPr>
        <w:t>应当提供的投标人及投标产品资格、资质性及其他类似效力要求的相关证明材料</w:t>
      </w:r>
      <w:r>
        <w:tab/>
      </w:r>
      <w:r>
        <w:fldChar w:fldCharType="begin"/>
      </w:r>
      <w:r>
        <w:instrText xml:space="preserve"> PAGEREF _Toc29817 \h </w:instrText>
      </w:r>
      <w:r>
        <w:fldChar w:fldCharType="separate"/>
      </w:r>
      <w:r>
        <w:t>60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_Toc31518 </w:instrText>
      </w:r>
      <w:r>
        <w:rPr>
          <w:highlight w:val="none"/>
        </w:rPr>
        <w:fldChar w:fldCharType="separate"/>
      </w:r>
      <w:r>
        <w:rPr>
          <w:rFonts w:hint="eastAsia" w:ascii="宋体" w:hAnsi="宋体" w:eastAsia="宋体" w:cs="宋体"/>
        </w:rPr>
        <w:t xml:space="preserve">二、 </w:t>
      </w:r>
      <w:r>
        <w:rPr>
          <w:rFonts w:hint="eastAsia"/>
          <w:highlight w:val="none"/>
        </w:rPr>
        <w:t>审查程序</w:t>
      </w:r>
      <w:r>
        <w:tab/>
      </w:r>
      <w:r>
        <w:fldChar w:fldCharType="begin"/>
      </w:r>
      <w:r>
        <w:instrText xml:space="preserve"> PAGEREF _Toc31518 \h </w:instrText>
      </w:r>
      <w:r>
        <w:fldChar w:fldCharType="separate"/>
      </w:r>
      <w:r>
        <w:t>62</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_Toc6631 </w:instrText>
      </w:r>
      <w:r>
        <w:rPr>
          <w:highlight w:val="none"/>
        </w:rPr>
        <w:fldChar w:fldCharType="separate"/>
      </w:r>
      <w:r>
        <w:rPr>
          <w:rFonts w:hint="eastAsia" w:ascii="宋体" w:hAnsi="宋体" w:eastAsia="宋体" w:cs="宋体"/>
        </w:rPr>
        <w:t xml:space="preserve">第六章 </w:t>
      </w:r>
      <w:r>
        <w:rPr>
          <w:rFonts w:hint="eastAsia"/>
          <w:highlight w:val="none"/>
        </w:rPr>
        <w:t>招标项目技术、服务、政府采购合同内容条款及其他商务要求</w:t>
      </w:r>
      <w:r>
        <w:tab/>
      </w:r>
      <w:r>
        <w:fldChar w:fldCharType="begin"/>
      </w:r>
      <w:r>
        <w:instrText xml:space="preserve"> PAGEREF _Toc6631 \h </w:instrText>
      </w:r>
      <w:r>
        <w:fldChar w:fldCharType="separate"/>
      </w:r>
      <w:r>
        <w:t>63</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_Toc30804 </w:instrText>
      </w:r>
      <w:r>
        <w:rPr>
          <w:highlight w:val="none"/>
        </w:rPr>
        <w:fldChar w:fldCharType="separate"/>
      </w:r>
      <w:r>
        <w:rPr>
          <w:rFonts w:hint="eastAsia" w:ascii="宋体" w:hAnsi="宋体" w:eastAsia="宋体" w:cs="宋体"/>
        </w:rPr>
        <w:t xml:space="preserve">一、 </w:t>
      </w:r>
      <w:r>
        <w:rPr>
          <w:rFonts w:hint="eastAsia"/>
          <w:highlight w:val="none"/>
        </w:rPr>
        <w:t>项目概述</w:t>
      </w:r>
      <w:r>
        <w:tab/>
      </w:r>
      <w:r>
        <w:fldChar w:fldCharType="begin"/>
      </w:r>
      <w:r>
        <w:instrText xml:space="preserve"> PAGEREF _Toc30804 \h </w:instrText>
      </w:r>
      <w:r>
        <w:fldChar w:fldCharType="separate"/>
      </w:r>
      <w:r>
        <w:t>63</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_Toc29669 </w:instrText>
      </w:r>
      <w:r>
        <w:rPr>
          <w:highlight w:val="none"/>
        </w:rPr>
        <w:fldChar w:fldCharType="separate"/>
      </w:r>
      <w:r>
        <w:rPr>
          <w:rFonts w:hint="eastAsia" w:ascii="宋体" w:hAnsi="宋体" w:eastAsia="宋体" w:cs="宋体"/>
        </w:rPr>
        <w:t xml:space="preserve">二、 </w:t>
      </w:r>
      <w:r>
        <w:rPr>
          <w:rFonts w:hint="eastAsia"/>
          <w:highlight w:val="none"/>
        </w:rPr>
        <w:t>采购标的</w:t>
      </w:r>
      <w:r>
        <w:tab/>
      </w:r>
      <w:r>
        <w:fldChar w:fldCharType="begin"/>
      </w:r>
      <w:r>
        <w:instrText xml:space="preserve"> PAGEREF _Toc29669 \h </w:instrText>
      </w:r>
      <w:r>
        <w:fldChar w:fldCharType="separate"/>
      </w:r>
      <w:r>
        <w:t>63</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_Toc10009 </w:instrText>
      </w:r>
      <w:r>
        <w:rPr>
          <w:highlight w:val="none"/>
        </w:rPr>
        <w:fldChar w:fldCharType="separate"/>
      </w:r>
      <w:r>
        <w:rPr>
          <w:rFonts w:hint="eastAsia" w:ascii="宋体" w:hAnsi="宋体" w:eastAsia="宋体" w:cs="宋体"/>
        </w:rPr>
        <w:t xml:space="preserve">三、 </w:t>
      </w:r>
      <w:r>
        <w:rPr>
          <w:rFonts w:hint="eastAsia"/>
          <w:highlight w:val="none"/>
        </w:rPr>
        <w:t>技术参数及功能要求</w:t>
      </w:r>
      <w:r>
        <w:tab/>
      </w:r>
      <w:r>
        <w:fldChar w:fldCharType="begin"/>
      </w:r>
      <w:r>
        <w:instrText xml:space="preserve"> PAGEREF _Toc10009 \h </w:instrText>
      </w:r>
      <w:r>
        <w:fldChar w:fldCharType="separate"/>
      </w:r>
      <w:r>
        <w:t>64</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_Toc7285 </w:instrText>
      </w:r>
      <w:r>
        <w:rPr>
          <w:highlight w:val="none"/>
        </w:rPr>
        <w:fldChar w:fldCharType="separate"/>
      </w:r>
      <w:r>
        <w:rPr>
          <w:rFonts w:hint="eastAsia" w:ascii="宋体" w:hAnsi="宋体" w:eastAsia="宋体" w:cs="宋体"/>
        </w:rPr>
        <w:t xml:space="preserve">四、 </w:t>
      </w:r>
      <w:r>
        <w:rPr>
          <w:rFonts w:hint="eastAsia" w:cs="宋体"/>
          <w:highlight w:val="none"/>
        </w:rPr>
        <w:t>商务要求</w:t>
      </w:r>
      <w:r>
        <w:tab/>
      </w:r>
      <w:r>
        <w:fldChar w:fldCharType="begin"/>
      </w:r>
      <w:r>
        <w:instrText xml:space="preserve"> PAGEREF _Toc7285 \h </w:instrText>
      </w:r>
      <w:r>
        <w:fldChar w:fldCharType="separate"/>
      </w:r>
      <w:r>
        <w:t>75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_Toc19820 </w:instrText>
      </w:r>
      <w:r>
        <w:rPr>
          <w:highlight w:val="none"/>
        </w:rPr>
        <w:fldChar w:fldCharType="separate"/>
      </w:r>
      <w:r>
        <w:rPr>
          <w:rFonts w:hint="eastAsia" w:ascii="宋体" w:hAnsi="宋体" w:eastAsia="宋体" w:cs="宋体"/>
          <w:snapToGrid w:val="0"/>
        </w:rPr>
        <w:t xml:space="preserve">(一) </w:t>
      </w:r>
      <w:r>
        <w:rPr>
          <w:rFonts w:hint="eastAsia" w:cs="宋体"/>
          <w:highlight w:val="none"/>
        </w:rPr>
        <w:t>★</w:t>
      </w:r>
      <w:r>
        <w:rPr>
          <w:rFonts w:hint="eastAsia" w:cs="宋体"/>
          <w:snapToGrid w:val="0"/>
          <w:highlight w:val="none"/>
        </w:rPr>
        <w:t>履约时间和地点</w:t>
      </w:r>
      <w:r>
        <w:tab/>
      </w:r>
      <w:r>
        <w:fldChar w:fldCharType="begin"/>
      </w:r>
      <w:r>
        <w:instrText xml:space="preserve"> PAGEREF _Toc19820 \h </w:instrText>
      </w:r>
      <w:r>
        <w:fldChar w:fldCharType="separate"/>
      </w:r>
      <w:r>
        <w:t>75</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_Toc3476 </w:instrText>
      </w:r>
      <w:r>
        <w:rPr>
          <w:highlight w:val="none"/>
        </w:rPr>
        <w:fldChar w:fldCharType="separate"/>
      </w:r>
      <w:r>
        <w:rPr>
          <w:rFonts w:hint="eastAsia" w:ascii="宋体" w:hAnsi="宋体" w:eastAsia="宋体" w:cs="宋体"/>
          <w:snapToGrid w:val="0"/>
        </w:rPr>
        <w:t xml:space="preserve">(二) </w:t>
      </w:r>
      <w:r>
        <w:rPr>
          <w:rFonts w:hint="eastAsia" w:cs="宋体"/>
          <w:highlight w:val="none"/>
        </w:rPr>
        <w:t>★</w:t>
      </w:r>
      <w:r>
        <w:rPr>
          <w:rFonts w:hint="eastAsia" w:cs="宋体"/>
          <w:snapToGrid w:val="0"/>
          <w:highlight w:val="none"/>
        </w:rPr>
        <w:t>合同价款</w:t>
      </w:r>
      <w:r>
        <w:tab/>
      </w:r>
      <w:r>
        <w:fldChar w:fldCharType="begin"/>
      </w:r>
      <w:r>
        <w:instrText xml:space="preserve"> PAGEREF _Toc3476 \h </w:instrText>
      </w:r>
      <w:r>
        <w:fldChar w:fldCharType="separate"/>
      </w:r>
      <w:r>
        <w:t>76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_Toc357 </w:instrText>
      </w:r>
      <w:r>
        <w:rPr>
          <w:highlight w:val="none"/>
        </w:rPr>
        <w:fldChar w:fldCharType="separate"/>
      </w:r>
      <w:r>
        <w:rPr>
          <w:rFonts w:hint="eastAsia" w:ascii="宋体" w:hAnsi="宋体" w:eastAsia="宋体" w:cs="宋体"/>
          <w:snapToGrid w:val="0"/>
        </w:rPr>
        <w:t xml:space="preserve">(三) </w:t>
      </w:r>
      <w:r>
        <w:rPr>
          <w:rFonts w:hint="eastAsia" w:cs="宋体"/>
          <w:highlight w:val="none"/>
        </w:rPr>
        <w:t>★</w:t>
      </w:r>
      <w:r>
        <w:rPr>
          <w:rFonts w:hint="eastAsia" w:cs="宋体"/>
          <w:snapToGrid w:val="0"/>
          <w:highlight w:val="none"/>
        </w:rPr>
        <w:t>付款方式</w:t>
      </w:r>
      <w:r>
        <w:tab/>
      </w:r>
      <w:r>
        <w:fldChar w:fldCharType="begin"/>
      </w:r>
      <w:r>
        <w:instrText xml:space="preserve"> PAGEREF _Toc357 \h </w:instrText>
      </w:r>
      <w:r>
        <w:fldChar w:fldCharType="separate"/>
      </w:r>
      <w:r>
        <w:t>76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_Toc16579 </w:instrText>
      </w:r>
      <w:r>
        <w:rPr>
          <w:highlight w:val="none"/>
        </w:rPr>
        <w:fldChar w:fldCharType="separate"/>
      </w:r>
      <w:r>
        <w:rPr>
          <w:rFonts w:hint="eastAsia" w:ascii="宋体" w:hAnsi="宋体" w:eastAsia="宋体" w:cs="宋体"/>
          <w:snapToGrid w:val="0"/>
        </w:rPr>
        <w:t xml:space="preserve">(四) </w:t>
      </w:r>
      <w:r>
        <w:rPr>
          <w:rFonts w:hint="eastAsia" w:cs="宋体"/>
          <w:highlight w:val="none"/>
        </w:rPr>
        <w:t>★</w:t>
      </w:r>
      <w:r>
        <w:rPr>
          <w:rFonts w:hint="eastAsia" w:cs="宋体"/>
          <w:snapToGrid w:val="0"/>
          <w:highlight w:val="none"/>
        </w:rPr>
        <w:t>质量、包装、运输及安装要求</w:t>
      </w:r>
      <w:r>
        <w:tab/>
      </w:r>
      <w:r>
        <w:fldChar w:fldCharType="begin"/>
      </w:r>
      <w:r>
        <w:instrText xml:space="preserve"> PAGEREF _Toc16579 \h </w:instrText>
      </w:r>
      <w:r>
        <w:fldChar w:fldCharType="separate"/>
      </w:r>
      <w:r>
        <w:t>76</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_Toc19237 </w:instrText>
      </w:r>
      <w:r>
        <w:rPr>
          <w:highlight w:val="none"/>
        </w:rPr>
        <w:fldChar w:fldCharType="separate"/>
      </w:r>
      <w:r>
        <w:rPr>
          <w:rFonts w:hint="eastAsia" w:ascii="宋体" w:hAnsi="宋体" w:eastAsia="宋体" w:cs="宋体"/>
          <w:snapToGrid w:val="0"/>
        </w:rPr>
        <w:t xml:space="preserve">(五) </w:t>
      </w:r>
      <w:r>
        <w:rPr>
          <w:rFonts w:hint="eastAsia" w:cs="宋体"/>
          <w:highlight w:val="none"/>
        </w:rPr>
        <w:t>★</w:t>
      </w:r>
      <w:r>
        <w:rPr>
          <w:rFonts w:hint="eastAsia" w:cs="宋体"/>
          <w:snapToGrid w:val="0"/>
          <w:highlight w:val="none"/>
        </w:rPr>
        <w:t>售后服务要求</w:t>
      </w:r>
      <w:r>
        <w:tab/>
      </w:r>
      <w:r>
        <w:fldChar w:fldCharType="begin"/>
      </w:r>
      <w:r>
        <w:instrText xml:space="preserve"> PAGEREF _Toc19237 \h </w:instrText>
      </w:r>
      <w:r>
        <w:fldChar w:fldCharType="separate"/>
      </w:r>
      <w:r>
        <w:t>77</w:t>
      </w:r>
      <w:r>
        <w:fldChar w:fldCharType="end"/>
      </w:r>
      <w:r>
        <w:rPr>
          <w:color w:val="auto"/>
          <w:highlight w:val="none"/>
        </w:rPr>
        <w:fldChar w:fldCharType="end"/>
      </w:r>
    </w:p>
    <w:p>
      <w:pPr>
        <w:pStyle w:val="15"/>
        <w:tabs>
          <w:tab w:val="right" w:leader="dot" w:pos="9746"/>
          <w:tab w:val="clear" w:pos="0"/>
        </w:tabs>
      </w:pPr>
      <w:r>
        <w:rPr>
          <w:color w:val="auto"/>
          <w:highlight w:val="none"/>
        </w:rPr>
        <w:fldChar w:fldCharType="begin"/>
      </w:r>
      <w:r>
        <w:rPr>
          <w:highlight w:val="none"/>
        </w:rPr>
        <w:instrText xml:space="preserve"> HYPERLINK \l _Toc18365 </w:instrText>
      </w:r>
      <w:r>
        <w:rPr>
          <w:highlight w:val="none"/>
        </w:rPr>
        <w:fldChar w:fldCharType="separate"/>
      </w:r>
      <w:r>
        <w:rPr>
          <w:rFonts w:hint="eastAsia" w:ascii="宋体" w:hAnsi="宋体" w:eastAsia="宋体" w:cs="宋体"/>
          <w:snapToGrid w:val="0"/>
        </w:rPr>
        <w:t xml:space="preserve">(六) </w:t>
      </w:r>
      <w:r>
        <w:rPr>
          <w:rFonts w:hint="eastAsia" w:cs="宋体"/>
          <w:highlight w:val="none"/>
        </w:rPr>
        <w:t>★</w:t>
      </w:r>
      <w:r>
        <w:rPr>
          <w:rFonts w:hint="eastAsia" w:cs="宋体"/>
          <w:snapToGrid w:val="0"/>
          <w:highlight w:val="none"/>
        </w:rPr>
        <w:t>其他商务要求</w:t>
      </w:r>
      <w:r>
        <w:tab/>
      </w:r>
      <w:r>
        <w:fldChar w:fldCharType="begin"/>
      </w:r>
      <w:r>
        <w:instrText xml:space="preserve"> PAGEREF _Toc18365 \h </w:instrText>
      </w:r>
      <w:r>
        <w:fldChar w:fldCharType="separate"/>
      </w:r>
      <w:r>
        <w:t>77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_Toc24364 </w:instrText>
      </w:r>
      <w:r>
        <w:rPr>
          <w:highlight w:val="none"/>
        </w:rPr>
        <w:fldChar w:fldCharType="separate"/>
      </w:r>
      <w:r>
        <w:rPr>
          <w:rFonts w:hint="eastAsia" w:ascii="宋体" w:hAnsi="宋体" w:eastAsia="宋体" w:cs="宋体"/>
        </w:rPr>
        <w:t xml:space="preserve">五、 </w:t>
      </w:r>
      <w:r>
        <w:rPr>
          <w:rFonts w:hint="eastAsia" w:cs="宋体"/>
          <w:highlight w:val="none"/>
        </w:rPr>
        <w:t>★履约保证金</w:t>
      </w:r>
      <w:r>
        <w:tab/>
      </w:r>
      <w:r>
        <w:fldChar w:fldCharType="begin"/>
      </w:r>
      <w:r>
        <w:instrText xml:space="preserve"> PAGEREF _Toc24364 \h </w:instrText>
      </w:r>
      <w:r>
        <w:fldChar w:fldCharType="separate"/>
      </w:r>
      <w:r>
        <w:t>77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_Toc4071 </w:instrText>
      </w:r>
      <w:r>
        <w:rPr>
          <w:highlight w:val="none"/>
        </w:rPr>
        <w:fldChar w:fldCharType="separate"/>
      </w:r>
      <w:r>
        <w:rPr>
          <w:rFonts w:hint="eastAsia" w:ascii="宋体" w:hAnsi="宋体" w:eastAsia="宋体" w:cs="宋体"/>
        </w:rPr>
        <w:t xml:space="preserve">六、 </w:t>
      </w:r>
      <w:r>
        <w:rPr>
          <w:rFonts w:hint="eastAsia" w:cs="宋体"/>
          <w:highlight w:val="none"/>
        </w:rPr>
        <w:t>履约验收</w:t>
      </w:r>
      <w:r>
        <w:tab/>
      </w:r>
      <w:r>
        <w:fldChar w:fldCharType="begin"/>
      </w:r>
      <w:r>
        <w:instrText xml:space="preserve"> PAGEREF _Toc4071 \h </w:instrText>
      </w:r>
      <w:r>
        <w:fldChar w:fldCharType="separate"/>
      </w:r>
      <w:r>
        <w:t>78</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_Toc31887 </w:instrText>
      </w:r>
      <w:r>
        <w:rPr>
          <w:highlight w:val="none"/>
        </w:rPr>
        <w:fldChar w:fldCharType="separate"/>
      </w:r>
      <w:r>
        <w:rPr>
          <w:rFonts w:hint="eastAsia" w:ascii="宋体" w:hAnsi="宋体" w:eastAsia="宋体" w:cs="宋体"/>
        </w:rPr>
        <w:t xml:space="preserve">七、 </w:t>
      </w:r>
      <w:r>
        <w:rPr>
          <w:rFonts w:hint="eastAsia" w:cs="宋体"/>
          <w:highlight w:val="none"/>
        </w:rPr>
        <w:t>履约要求</w:t>
      </w:r>
      <w:r>
        <w:tab/>
      </w:r>
      <w:r>
        <w:fldChar w:fldCharType="begin"/>
      </w:r>
      <w:r>
        <w:instrText xml:space="preserve"> PAGEREF _Toc31887 \h </w:instrText>
      </w:r>
      <w:r>
        <w:fldChar w:fldCharType="separate"/>
      </w:r>
      <w:r>
        <w:t>79</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_Toc20032 </w:instrText>
      </w:r>
      <w:r>
        <w:rPr>
          <w:highlight w:val="none"/>
        </w:rPr>
        <w:fldChar w:fldCharType="separate"/>
      </w:r>
      <w:r>
        <w:rPr>
          <w:rFonts w:hint="eastAsia" w:ascii="宋体" w:hAnsi="宋体" w:eastAsia="宋体" w:cs="宋体"/>
        </w:rPr>
        <w:t xml:space="preserve">第七章 </w:t>
      </w:r>
      <w:r>
        <w:rPr>
          <w:rFonts w:hint="eastAsia"/>
          <w:highlight w:val="none"/>
        </w:rPr>
        <w:t>评标办法</w:t>
      </w:r>
      <w:r>
        <w:tab/>
      </w:r>
      <w:r>
        <w:fldChar w:fldCharType="begin"/>
      </w:r>
      <w:r>
        <w:instrText xml:space="preserve"> PAGEREF _Toc20032 \h </w:instrText>
      </w:r>
      <w:r>
        <w:fldChar w:fldCharType="separate"/>
      </w:r>
      <w:r>
        <w:t>80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_Toc5534 </w:instrText>
      </w:r>
      <w:r>
        <w:rPr>
          <w:highlight w:val="none"/>
        </w:rPr>
        <w:fldChar w:fldCharType="separate"/>
      </w:r>
      <w:r>
        <w:rPr>
          <w:rFonts w:hint="eastAsia" w:ascii="宋体" w:hAnsi="宋体" w:eastAsia="宋体" w:cs="宋体"/>
        </w:rPr>
        <w:t xml:space="preserve">一、 </w:t>
      </w:r>
      <w:r>
        <w:rPr>
          <w:rFonts w:hint="eastAsia"/>
          <w:highlight w:val="none"/>
        </w:rPr>
        <w:t>总则</w:t>
      </w:r>
      <w:r>
        <w:tab/>
      </w:r>
      <w:r>
        <w:fldChar w:fldCharType="begin"/>
      </w:r>
      <w:r>
        <w:instrText xml:space="preserve"> PAGEREF _Toc5534 \h </w:instrText>
      </w:r>
      <w:r>
        <w:fldChar w:fldCharType="separate"/>
      </w:r>
      <w:r>
        <w:t>80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_Toc16351 </w:instrText>
      </w:r>
      <w:r>
        <w:rPr>
          <w:highlight w:val="none"/>
        </w:rPr>
        <w:fldChar w:fldCharType="separate"/>
      </w:r>
      <w:r>
        <w:rPr>
          <w:rFonts w:hint="eastAsia" w:ascii="宋体" w:hAnsi="宋体" w:eastAsia="宋体" w:cs="宋体"/>
        </w:rPr>
        <w:t xml:space="preserve">二、 </w:t>
      </w:r>
      <w:r>
        <w:rPr>
          <w:rFonts w:hint="eastAsia"/>
          <w:highlight w:val="none"/>
        </w:rPr>
        <w:t>评标方法</w:t>
      </w:r>
      <w:r>
        <w:tab/>
      </w:r>
      <w:r>
        <w:fldChar w:fldCharType="begin"/>
      </w:r>
      <w:r>
        <w:instrText xml:space="preserve"> PAGEREF _Toc16351 \h </w:instrText>
      </w:r>
      <w:r>
        <w:fldChar w:fldCharType="separate"/>
      </w:r>
      <w:r>
        <w:t>80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_Toc24315 </w:instrText>
      </w:r>
      <w:r>
        <w:rPr>
          <w:highlight w:val="none"/>
        </w:rPr>
        <w:fldChar w:fldCharType="separate"/>
      </w:r>
      <w:r>
        <w:rPr>
          <w:rFonts w:hint="eastAsia" w:ascii="宋体" w:hAnsi="宋体" w:eastAsia="宋体" w:cs="宋体"/>
        </w:rPr>
        <w:t xml:space="preserve">三、 </w:t>
      </w:r>
      <w:r>
        <w:rPr>
          <w:rFonts w:hint="eastAsia"/>
          <w:highlight w:val="none"/>
        </w:rPr>
        <w:t>评标程序</w:t>
      </w:r>
      <w:r>
        <w:tab/>
      </w:r>
      <w:r>
        <w:fldChar w:fldCharType="begin"/>
      </w:r>
      <w:r>
        <w:instrText xml:space="preserve"> PAGEREF _Toc24315 \h </w:instrText>
      </w:r>
      <w:r>
        <w:fldChar w:fldCharType="separate"/>
      </w:r>
      <w:r>
        <w:t>80</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_Toc2874 </w:instrText>
      </w:r>
      <w:r>
        <w:rPr>
          <w:highlight w:val="none"/>
        </w:rPr>
        <w:fldChar w:fldCharType="separate"/>
      </w:r>
      <w:r>
        <w:rPr>
          <w:rFonts w:hint="eastAsia" w:ascii="宋体" w:hAnsi="宋体" w:eastAsia="宋体" w:cs="宋体"/>
        </w:rPr>
        <w:t xml:space="preserve">四、 </w:t>
      </w:r>
      <w:r>
        <w:rPr>
          <w:rFonts w:hint="eastAsia"/>
          <w:highlight w:val="none"/>
        </w:rPr>
        <w:t>评标细则及标准</w:t>
      </w:r>
      <w:r>
        <w:tab/>
      </w:r>
      <w:r>
        <w:fldChar w:fldCharType="begin"/>
      </w:r>
      <w:r>
        <w:instrText xml:space="preserve"> PAGEREF _Toc2874 \h </w:instrText>
      </w:r>
      <w:r>
        <w:fldChar w:fldCharType="separate"/>
      </w:r>
      <w:r>
        <w:t>83</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_Toc12490 </w:instrText>
      </w:r>
      <w:r>
        <w:rPr>
          <w:highlight w:val="none"/>
        </w:rPr>
        <w:fldChar w:fldCharType="separate"/>
      </w:r>
      <w:r>
        <w:rPr>
          <w:rFonts w:hint="eastAsia" w:ascii="宋体" w:hAnsi="宋体" w:eastAsia="宋体" w:cs="宋体"/>
        </w:rPr>
        <w:t xml:space="preserve">五、 </w:t>
      </w:r>
      <w:r>
        <w:rPr>
          <w:rFonts w:hint="eastAsia"/>
          <w:highlight w:val="none"/>
        </w:rPr>
        <w:t>复核</w:t>
      </w:r>
      <w:r>
        <w:tab/>
      </w:r>
      <w:r>
        <w:fldChar w:fldCharType="begin"/>
      </w:r>
      <w:r>
        <w:instrText xml:space="preserve"> PAGEREF _Toc12490 \h </w:instrText>
      </w:r>
      <w:r>
        <w:fldChar w:fldCharType="separate"/>
      </w:r>
      <w:r>
        <w:t>85</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_Toc14945 </w:instrText>
      </w:r>
      <w:r>
        <w:rPr>
          <w:highlight w:val="none"/>
        </w:rPr>
        <w:fldChar w:fldCharType="separate"/>
      </w:r>
      <w:r>
        <w:rPr>
          <w:rFonts w:hint="eastAsia" w:ascii="宋体" w:hAnsi="宋体" w:eastAsia="宋体" w:cs="宋体"/>
        </w:rPr>
        <w:t xml:space="preserve">六、 </w:t>
      </w:r>
      <w:r>
        <w:rPr>
          <w:rFonts w:hint="eastAsia"/>
          <w:highlight w:val="none"/>
        </w:rPr>
        <w:t>推荐中标候选供应商</w:t>
      </w:r>
      <w:r>
        <w:tab/>
      </w:r>
      <w:r>
        <w:fldChar w:fldCharType="begin"/>
      </w:r>
      <w:r>
        <w:instrText xml:space="preserve"> PAGEREF _Toc14945 \h </w:instrText>
      </w:r>
      <w:r>
        <w:fldChar w:fldCharType="separate"/>
      </w:r>
      <w:r>
        <w:t>86</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_Toc11734 </w:instrText>
      </w:r>
      <w:r>
        <w:rPr>
          <w:highlight w:val="none"/>
        </w:rPr>
        <w:fldChar w:fldCharType="separate"/>
      </w:r>
      <w:r>
        <w:rPr>
          <w:rFonts w:hint="eastAsia" w:ascii="宋体" w:hAnsi="宋体" w:eastAsia="宋体" w:cs="宋体"/>
        </w:rPr>
        <w:t xml:space="preserve">七、 </w:t>
      </w:r>
      <w:r>
        <w:rPr>
          <w:rFonts w:hint="eastAsia"/>
          <w:highlight w:val="none"/>
        </w:rPr>
        <w:t>出具评标报告</w:t>
      </w:r>
      <w:r>
        <w:tab/>
      </w:r>
      <w:r>
        <w:fldChar w:fldCharType="begin"/>
      </w:r>
      <w:r>
        <w:instrText xml:space="preserve"> PAGEREF _Toc11734 \h </w:instrText>
      </w:r>
      <w:r>
        <w:fldChar w:fldCharType="separate"/>
      </w:r>
      <w:r>
        <w:t>87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_Toc15423 </w:instrText>
      </w:r>
      <w:r>
        <w:rPr>
          <w:highlight w:val="none"/>
        </w:rPr>
        <w:fldChar w:fldCharType="separate"/>
      </w:r>
      <w:r>
        <w:rPr>
          <w:rFonts w:hint="eastAsia" w:ascii="宋体" w:hAnsi="宋体" w:eastAsia="宋体" w:cs="宋体"/>
        </w:rPr>
        <w:t xml:space="preserve">八、 </w:t>
      </w:r>
      <w:r>
        <w:rPr>
          <w:rFonts w:hint="eastAsia"/>
          <w:highlight w:val="none"/>
        </w:rPr>
        <w:t>废标</w:t>
      </w:r>
      <w:r>
        <w:tab/>
      </w:r>
      <w:r>
        <w:fldChar w:fldCharType="begin"/>
      </w:r>
      <w:r>
        <w:instrText xml:space="preserve"> PAGEREF _Toc15423 \h </w:instrText>
      </w:r>
      <w:r>
        <w:fldChar w:fldCharType="separate"/>
      </w:r>
      <w:r>
        <w:t>87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_Toc19033 </w:instrText>
      </w:r>
      <w:r>
        <w:rPr>
          <w:highlight w:val="none"/>
        </w:rPr>
        <w:fldChar w:fldCharType="separate"/>
      </w:r>
      <w:r>
        <w:rPr>
          <w:rFonts w:hint="eastAsia" w:ascii="宋体" w:hAnsi="宋体" w:eastAsia="宋体" w:cs="宋体"/>
        </w:rPr>
        <w:t xml:space="preserve">九、 </w:t>
      </w:r>
      <w:r>
        <w:rPr>
          <w:rFonts w:hint="eastAsia"/>
          <w:highlight w:val="none"/>
        </w:rPr>
        <w:t>定标</w:t>
      </w:r>
      <w:r>
        <w:tab/>
      </w:r>
      <w:r>
        <w:fldChar w:fldCharType="begin"/>
      </w:r>
      <w:r>
        <w:instrText xml:space="preserve"> PAGEREF _Toc19033 \h </w:instrText>
      </w:r>
      <w:r>
        <w:fldChar w:fldCharType="separate"/>
      </w:r>
      <w:r>
        <w:t>87</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_Toc22782 </w:instrText>
      </w:r>
      <w:r>
        <w:rPr>
          <w:highlight w:val="none"/>
        </w:rPr>
        <w:fldChar w:fldCharType="separate"/>
      </w:r>
      <w:r>
        <w:rPr>
          <w:rFonts w:hint="eastAsia" w:ascii="宋体" w:hAnsi="宋体" w:eastAsia="宋体" w:cs="宋体"/>
        </w:rPr>
        <w:t xml:space="preserve">十、 </w:t>
      </w:r>
      <w:r>
        <w:rPr>
          <w:rFonts w:hint="eastAsia"/>
          <w:highlight w:val="none"/>
        </w:rPr>
        <w:t>评标专家在政府采购活动中承担以下义务</w:t>
      </w:r>
      <w:r>
        <w:tab/>
      </w:r>
      <w:r>
        <w:fldChar w:fldCharType="begin"/>
      </w:r>
      <w:r>
        <w:instrText xml:space="preserve"> PAGEREF _Toc22782 \h </w:instrText>
      </w:r>
      <w:r>
        <w:fldChar w:fldCharType="separate"/>
      </w:r>
      <w:r>
        <w:t>88</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_Toc4966 </w:instrText>
      </w:r>
      <w:r>
        <w:rPr>
          <w:highlight w:val="none"/>
        </w:rPr>
        <w:fldChar w:fldCharType="separate"/>
      </w:r>
      <w:r>
        <w:rPr>
          <w:rFonts w:hint="eastAsia" w:ascii="宋体" w:hAnsi="宋体" w:eastAsia="宋体" w:cs="宋体"/>
        </w:rPr>
        <w:t xml:space="preserve">十一、 </w:t>
      </w:r>
      <w:r>
        <w:rPr>
          <w:rFonts w:hint="eastAsia"/>
          <w:highlight w:val="none"/>
        </w:rPr>
        <w:t>评标专家在政府采购活动中应当遵守以下工作纪律</w:t>
      </w:r>
      <w:r>
        <w:tab/>
      </w:r>
      <w:r>
        <w:fldChar w:fldCharType="begin"/>
      </w:r>
      <w:r>
        <w:instrText xml:space="preserve"> PAGEREF _Toc4966 \h </w:instrText>
      </w:r>
      <w:r>
        <w:fldChar w:fldCharType="separate"/>
      </w:r>
      <w:r>
        <w:t>88</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_Toc15766 </w:instrText>
      </w:r>
      <w:r>
        <w:rPr>
          <w:highlight w:val="none"/>
        </w:rPr>
        <w:fldChar w:fldCharType="separate"/>
      </w:r>
      <w:r>
        <w:rPr>
          <w:rFonts w:hint="eastAsia" w:ascii="宋体" w:hAnsi="宋体" w:eastAsia="宋体" w:cs="宋体"/>
        </w:rPr>
        <w:t xml:space="preserve">十二、 </w:t>
      </w:r>
      <w:r>
        <w:rPr>
          <w:rFonts w:hint="eastAsia"/>
          <w:highlight w:val="none"/>
        </w:rPr>
        <w:t>评标委员会及其成员不得有下列行为</w:t>
      </w:r>
      <w:r>
        <w:tab/>
      </w:r>
      <w:r>
        <w:fldChar w:fldCharType="begin"/>
      </w:r>
      <w:r>
        <w:instrText xml:space="preserve"> PAGEREF _Toc15766 \h </w:instrText>
      </w:r>
      <w:r>
        <w:fldChar w:fldCharType="separate"/>
      </w:r>
      <w:r>
        <w:t>89</w:t>
      </w:r>
      <w:r>
        <w:fldChar w:fldCharType="end"/>
      </w:r>
      <w:r>
        <w:rPr>
          <w:color w:val="auto"/>
          <w:highlight w:val="none"/>
        </w:rPr>
        <w:fldChar w:fldCharType="end"/>
      </w:r>
    </w:p>
    <w:p>
      <w:pPr>
        <w:pStyle w:val="20"/>
        <w:tabs>
          <w:tab w:val="right" w:leader="dot" w:pos="9746"/>
          <w:tab w:val="clear" w:pos="0"/>
        </w:tabs>
      </w:pPr>
      <w:r>
        <w:rPr>
          <w:color w:val="auto"/>
          <w:highlight w:val="none"/>
        </w:rPr>
        <w:fldChar w:fldCharType="begin"/>
      </w:r>
      <w:r>
        <w:rPr>
          <w:highlight w:val="none"/>
        </w:rPr>
        <w:instrText xml:space="preserve"> HYPERLINK \l _Toc19840 </w:instrText>
      </w:r>
      <w:r>
        <w:rPr>
          <w:highlight w:val="none"/>
        </w:rPr>
        <w:fldChar w:fldCharType="separate"/>
      </w:r>
      <w:r>
        <w:rPr>
          <w:rFonts w:hint="eastAsia" w:ascii="宋体" w:hAnsi="宋体" w:eastAsia="宋体" w:cs="宋体"/>
        </w:rPr>
        <w:t xml:space="preserve">十三、 </w:t>
      </w:r>
      <w:r>
        <w:rPr>
          <w:rFonts w:hint="eastAsia"/>
          <w:highlight w:val="none"/>
        </w:rPr>
        <w:t>评标委员会及其成员不得有下列违约情形</w:t>
      </w:r>
      <w:r>
        <w:tab/>
      </w:r>
      <w:r>
        <w:fldChar w:fldCharType="begin"/>
      </w:r>
      <w:r>
        <w:instrText xml:space="preserve"> PAGEREF _Toc19840 \h </w:instrText>
      </w:r>
      <w:r>
        <w:fldChar w:fldCharType="separate"/>
      </w:r>
      <w:r>
        <w:t>89</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_Toc25153 </w:instrText>
      </w:r>
      <w:r>
        <w:rPr>
          <w:highlight w:val="none"/>
        </w:rPr>
        <w:fldChar w:fldCharType="separate"/>
      </w:r>
      <w:r>
        <w:rPr>
          <w:rFonts w:hint="eastAsia" w:ascii="宋体" w:hAnsi="宋体" w:eastAsia="宋体" w:cs="宋体"/>
        </w:rPr>
        <w:t xml:space="preserve">第八章 </w:t>
      </w:r>
      <w:r>
        <w:rPr>
          <w:rFonts w:hint="eastAsia"/>
          <w:highlight w:val="none"/>
        </w:rPr>
        <w:t>政府采购合同</w:t>
      </w:r>
      <w:r>
        <w:tab/>
      </w:r>
      <w:r>
        <w:fldChar w:fldCharType="begin"/>
      </w:r>
      <w:r>
        <w:instrText xml:space="preserve"> PAGEREF _Toc25153 \h </w:instrText>
      </w:r>
      <w:r>
        <w:fldChar w:fldCharType="separate"/>
      </w:r>
      <w:r>
        <w:t>91</w:t>
      </w:r>
      <w:r>
        <w:fldChar w:fldCharType="end"/>
      </w:r>
      <w:r>
        <w:rPr>
          <w:color w:val="auto"/>
          <w:highlight w:val="none"/>
        </w:rPr>
        <w:fldChar w:fldCharType="end"/>
      </w:r>
    </w:p>
    <w:p>
      <w:pPr>
        <w:pStyle w:val="19"/>
        <w:tabs>
          <w:tab w:val="clear" w:pos="0"/>
        </w:tabs>
      </w:pPr>
      <w:r>
        <w:rPr>
          <w:color w:val="auto"/>
          <w:highlight w:val="none"/>
        </w:rPr>
        <w:fldChar w:fldCharType="begin"/>
      </w:r>
      <w:r>
        <w:rPr>
          <w:highlight w:val="none"/>
        </w:rPr>
        <w:instrText xml:space="preserve"> HYPERLINK \l _Toc18098 </w:instrText>
      </w:r>
      <w:r>
        <w:rPr>
          <w:highlight w:val="none"/>
        </w:rPr>
        <w:fldChar w:fldCharType="separate"/>
      </w:r>
      <w:r>
        <w:rPr>
          <w:rFonts w:hint="eastAsia" w:ascii="宋体" w:hAnsi="宋体" w:eastAsia="宋体" w:cs="宋体"/>
        </w:rPr>
        <w:t xml:space="preserve">第九章 </w:t>
      </w:r>
      <w:r>
        <w:rPr>
          <w:rFonts w:hint="eastAsia"/>
          <w:highlight w:val="none"/>
        </w:rPr>
        <w:t>附件</w:t>
      </w:r>
      <w:r>
        <w:tab/>
      </w:r>
      <w:r>
        <w:fldChar w:fldCharType="begin"/>
      </w:r>
      <w:r>
        <w:instrText xml:space="preserve"> PAGEREF _Toc18098 \h </w:instrText>
      </w:r>
      <w:r>
        <w:fldChar w:fldCharType="separate"/>
      </w:r>
      <w:r>
        <w:t>100</w:t>
      </w:r>
      <w:r>
        <w:fldChar w:fldCharType="end"/>
      </w:r>
      <w:r>
        <w:rPr>
          <w:color w:val="auto"/>
          <w:highlight w:val="none"/>
        </w:rPr>
        <w:fldChar w:fldCharType="end"/>
      </w:r>
    </w:p>
    <w:p>
      <w:pPr>
        <w:rPr>
          <w:color w:val="auto"/>
          <w:highlight w:val="none"/>
        </w:rPr>
      </w:pPr>
      <w:r>
        <w:rPr>
          <w:color w:val="auto"/>
          <w:highlight w:val="none"/>
        </w:rPr>
        <w:fldChar w:fldCharType="end"/>
      </w:r>
    </w:p>
    <w:p>
      <w:pPr>
        <w:pStyle w:val="30"/>
        <w:spacing w:before="120" w:after="120"/>
        <w:rPr>
          <w:color w:val="auto"/>
          <w:highlight w:val="none"/>
        </w:rPr>
      </w:pPr>
      <w:r>
        <w:rPr>
          <w:rFonts w:hint="eastAsia"/>
          <w:color w:val="auto"/>
          <w:highlight w:val="none"/>
        </w:rPr>
        <w:br w:type="page"/>
      </w:r>
      <w:bookmarkEnd w:id="2"/>
      <w:bookmarkEnd w:id="9"/>
      <w:bookmarkEnd w:id="10"/>
      <w:bookmarkStart w:id="12" w:name="_Toc30721"/>
      <w:bookmarkStart w:id="13" w:name="_Toc9731"/>
      <w:bookmarkStart w:id="14" w:name="_Toc213496267"/>
      <w:bookmarkStart w:id="15" w:name="_Toc213396945"/>
      <w:bookmarkStart w:id="16" w:name="_Toc213397009"/>
      <w:bookmarkStart w:id="17" w:name="_Toc217446031"/>
      <w:bookmarkStart w:id="18" w:name="_Toc213396759"/>
      <w:r>
        <w:rPr>
          <w:rFonts w:hint="eastAsia"/>
          <w:color w:val="auto"/>
          <w:highlight w:val="none"/>
        </w:rPr>
        <w:t>投标邀请</w:t>
      </w:r>
      <w:bookmarkEnd w:id="11"/>
      <w:bookmarkEnd w:id="12"/>
      <w:bookmarkEnd w:id="13"/>
    </w:p>
    <w:p>
      <w:pPr>
        <w:pStyle w:val="35"/>
        <w:rPr>
          <w:color w:val="auto"/>
          <w:highlight w:val="none"/>
        </w:rPr>
      </w:pPr>
      <w:r>
        <w:rPr>
          <w:rFonts w:hint="eastAsia"/>
          <w:color w:val="auto"/>
          <w:highlight w:val="none"/>
          <w:lang w:val="zh-CN"/>
        </w:rPr>
        <w:t>四川乾新招投标代理有限公司</w:t>
      </w:r>
      <w:r>
        <w:rPr>
          <w:rFonts w:hint="eastAsia"/>
          <w:color w:val="auto"/>
          <w:highlight w:val="none"/>
        </w:rPr>
        <w:t>受成都市技师学院的委托，拟对成都市技师学院人才联合培养实训室采购项目进行国内公开招标，兹邀请符合本次招标要求的供应商参加投标。</w:t>
      </w:r>
    </w:p>
    <w:p>
      <w:pPr>
        <w:pStyle w:val="31"/>
        <w:numPr>
          <w:ilvl w:val="0"/>
          <w:numId w:val="7"/>
        </w:numPr>
        <w:ind w:firstLine="482" w:firstLineChars="200"/>
        <w:rPr>
          <w:color w:val="auto"/>
          <w:highlight w:val="none"/>
        </w:rPr>
      </w:pPr>
      <w:r>
        <w:rPr>
          <w:rFonts w:hint="eastAsia"/>
          <w:b/>
          <w:bCs/>
          <w:color w:val="auto"/>
          <w:highlight w:val="none"/>
        </w:rPr>
        <w:t xml:space="preserve">项目编号：510 </w:t>
      </w:r>
      <w:r>
        <w:rPr>
          <w:rFonts w:hint="eastAsia"/>
          <w:color w:val="auto"/>
          <w:highlight w:val="none"/>
        </w:rPr>
        <w:t xml:space="preserve">         </w:t>
      </w:r>
    </w:p>
    <w:p>
      <w:pPr>
        <w:pStyle w:val="31"/>
        <w:numPr>
          <w:ilvl w:val="0"/>
          <w:numId w:val="7"/>
        </w:numPr>
        <w:ind w:firstLine="482" w:firstLineChars="200"/>
        <w:rPr>
          <w:color w:val="auto"/>
          <w:highlight w:val="none"/>
        </w:rPr>
      </w:pPr>
      <w:r>
        <w:rPr>
          <w:rFonts w:hint="eastAsia"/>
          <w:b/>
          <w:bCs/>
          <w:color w:val="auto"/>
          <w:highlight w:val="none"/>
        </w:rPr>
        <w:t>项目名称：</w:t>
      </w:r>
      <w:r>
        <w:rPr>
          <w:rFonts w:hint="eastAsia"/>
          <w:color w:val="auto"/>
          <w:highlight w:val="none"/>
        </w:rPr>
        <w:t>成都市技师学院人才联合培养实训室采购项目</w:t>
      </w:r>
    </w:p>
    <w:p>
      <w:pPr>
        <w:pStyle w:val="31"/>
        <w:numPr>
          <w:ilvl w:val="0"/>
          <w:numId w:val="7"/>
        </w:numPr>
        <w:ind w:firstLine="482" w:firstLineChars="200"/>
        <w:rPr>
          <w:color w:val="auto"/>
          <w:highlight w:val="none"/>
        </w:rPr>
      </w:pPr>
      <w:r>
        <w:rPr>
          <w:rFonts w:hint="eastAsia"/>
          <w:b/>
          <w:bCs/>
          <w:color w:val="auto"/>
          <w:highlight w:val="none"/>
        </w:rPr>
        <w:t>资金来源：根据成都市财政局下达的《成都市</w:t>
      </w:r>
      <w:r>
        <w:rPr>
          <w:rFonts w:hint="eastAsia" w:cs="宋体"/>
          <w:b/>
          <w:bCs/>
          <w:color w:val="auto"/>
          <w:highlight w:val="none"/>
        </w:rPr>
        <w:t>市级</w:t>
      </w:r>
      <w:r>
        <w:rPr>
          <w:rFonts w:hint="eastAsia"/>
          <w:b/>
          <w:bCs/>
          <w:color w:val="auto"/>
          <w:highlight w:val="none"/>
        </w:rPr>
        <w:t>政府采购实施计划备案表》(备案号：〔2021〕</w:t>
      </w:r>
      <w:r>
        <w:rPr>
          <w:b/>
          <w:bCs/>
          <w:color w:val="auto"/>
          <w:highlight w:val="none"/>
        </w:rPr>
        <w:t>3449</w:t>
      </w:r>
      <w:r>
        <w:rPr>
          <w:rFonts w:hint="eastAsia"/>
          <w:b/>
          <w:bCs/>
          <w:color w:val="auto"/>
          <w:highlight w:val="none"/>
        </w:rPr>
        <w:t>号)，该项目预算资金为人民币200万元，采购品目：A</w:t>
      </w:r>
      <w:r>
        <w:rPr>
          <w:b/>
          <w:bCs/>
          <w:color w:val="auto"/>
          <w:highlight w:val="none"/>
        </w:rPr>
        <w:t>033412(</w:t>
      </w:r>
      <w:r>
        <w:rPr>
          <w:rFonts w:hint="eastAsia"/>
          <w:b/>
          <w:bCs/>
          <w:color w:val="auto"/>
          <w:highlight w:val="none"/>
        </w:rPr>
        <w:t>教学专用仪器</w:t>
      </w:r>
      <w:r>
        <w:rPr>
          <w:b/>
          <w:bCs/>
          <w:color w:val="auto"/>
          <w:highlight w:val="none"/>
        </w:rPr>
        <w:t>)</w:t>
      </w:r>
      <w:r>
        <w:rPr>
          <w:rFonts w:hint="eastAsia"/>
          <w:b/>
          <w:bCs/>
          <w:color w:val="auto"/>
          <w:highlight w:val="none"/>
        </w:rPr>
        <w:t xml:space="preserve"> 。</w:t>
      </w:r>
    </w:p>
    <w:p>
      <w:pPr>
        <w:pStyle w:val="31"/>
        <w:numPr>
          <w:ilvl w:val="0"/>
          <w:numId w:val="7"/>
        </w:numPr>
        <w:ind w:firstLine="482" w:firstLineChars="200"/>
        <w:rPr>
          <w:b/>
          <w:bCs/>
          <w:color w:val="auto"/>
          <w:highlight w:val="none"/>
        </w:rPr>
      </w:pPr>
      <w:r>
        <w:rPr>
          <w:rFonts w:hint="eastAsia"/>
          <w:b/>
          <w:bCs/>
          <w:color w:val="auto"/>
          <w:highlight w:val="none"/>
        </w:rPr>
        <w:t>招标项目简介：</w:t>
      </w:r>
    </w:p>
    <w:p>
      <w:pPr>
        <w:pStyle w:val="31"/>
        <w:ind w:firstLine="482" w:firstLineChars="200"/>
        <w:rPr>
          <w:color w:val="auto"/>
          <w:highlight w:val="none"/>
        </w:rPr>
      </w:pPr>
      <w:r>
        <w:rPr>
          <w:rFonts w:hint="eastAsia"/>
          <w:b/>
          <w:bCs/>
          <w:color w:val="auto"/>
          <w:highlight w:val="none"/>
        </w:rPr>
        <w:t>(一)采购内容：</w:t>
      </w:r>
      <w:r>
        <w:rPr>
          <w:rFonts w:hint="eastAsia"/>
          <w:color w:val="auto"/>
          <w:highlight w:val="none"/>
        </w:rPr>
        <w:t>新建新能源汽检测与维修实训室</w:t>
      </w:r>
      <w:r>
        <w:rPr>
          <w:rFonts w:hint="eastAsia"/>
          <w:color w:val="auto"/>
          <w:highlight w:val="none"/>
          <w:lang w:val="en-US" w:eastAsia="zh-CN"/>
        </w:rPr>
        <w:t>建设</w:t>
      </w:r>
      <w:r>
        <w:rPr>
          <w:rFonts w:hint="eastAsia"/>
          <w:color w:val="auto"/>
          <w:highlight w:val="none"/>
        </w:rPr>
        <w:t>，具体详见招标文件第六章。</w:t>
      </w:r>
    </w:p>
    <w:p>
      <w:pPr>
        <w:pStyle w:val="31"/>
        <w:ind w:firstLine="482" w:firstLineChars="200"/>
        <w:rPr>
          <w:b/>
          <w:bCs/>
          <w:color w:val="auto"/>
          <w:highlight w:val="none"/>
        </w:rPr>
      </w:pPr>
      <w:r>
        <w:rPr>
          <w:rFonts w:hint="eastAsia"/>
          <w:b/>
          <w:bCs/>
          <w:color w:val="auto"/>
          <w:highlight w:val="none"/>
        </w:rPr>
        <w:t>(二)采购包划分：</w:t>
      </w:r>
      <w:r>
        <w:rPr>
          <w:rFonts w:hint="eastAsia"/>
          <w:color w:val="auto"/>
          <w:highlight w:val="none"/>
        </w:rPr>
        <w:t>本项目共计1个包，设置1名中标人。</w:t>
      </w:r>
    </w:p>
    <w:p>
      <w:pPr>
        <w:pStyle w:val="31"/>
        <w:ind w:firstLine="482" w:firstLineChars="200"/>
        <w:rPr>
          <w:color w:val="auto"/>
          <w:highlight w:val="none"/>
        </w:rPr>
      </w:pPr>
      <w:r>
        <w:rPr>
          <w:rFonts w:hint="eastAsia"/>
          <w:b/>
          <w:bCs/>
          <w:color w:val="auto"/>
          <w:highlight w:val="none"/>
        </w:rPr>
        <w:t>(三)采购用途：</w:t>
      </w:r>
      <w:r>
        <w:rPr>
          <w:rFonts w:hint="eastAsia"/>
          <w:color w:val="auto"/>
          <w:highlight w:val="none"/>
        </w:rPr>
        <w:t>引入企业新技术、新工艺、新标准，采购新能源汽车专业相关实习实训车辆、专用设备，新建新能源汽检测与维修实训室，打造高水平实训基地。</w:t>
      </w:r>
    </w:p>
    <w:p>
      <w:pPr>
        <w:pStyle w:val="31"/>
        <w:ind w:firstLine="482" w:firstLineChars="200"/>
        <w:rPr>
          <w:color w:val="auto"/>
          <w:highlight w:val="none"/>
        </w:rPr>
      </w:pPr>
      <w:r>
        <w:rPr>
          <w:rFonts w:hint="eastAsia"/>
          <w:b/>
          <w:bCs/>
          <w:color w:val="auto"/>
          <w:highlight w:val="none"/>
        </w:rPr>
        <w:t>(四)项目性质：</w:t>
      </w:r>
      <w:r>
        <w:rPr>
          <w:rFonts w:hint="eastAsia"/>
          <w:color w:val="auto"/>
          <w:highlight w:val="none"/>
        </w:rPr>
        <w:t>政府采购。</w:t>
      </w:r>
    </w:p>
    <w:p>
      <w:pPr>
        <w:pStyle w:val="31"/>
        <w:ind w:firstLine="482" w:firstLineChars="200"/>
        <w:rPr>
          <w:color w:val="auto"/>
          <w:highlight w:val="none"/>
        </w:rPr>
      </w:pPr>
      <w:r>
        <w:rPr>
          <w:rFonts w:hint="eastAsia"/>
          <w:b/>
          <w:bCs/>
          <w:color w:val="auto"/>
          <w:highlight w:val="none"/>
        </w:rPr>
        <w:t>(五)组织形式：</w:t>
      </w:r>
      <w:r>
        <w:rPr>
          <w:rFonts w:hint="eastAsia"/>
          <w:color w:val="auto"/>
          <w:highlight w:val="none"/>
        </w:rPr>
        <w:t>分散采购。</w:t>
      </w:r>
    </w:p>
    <w:p>
      <w:pPr>
        <w:pStyle w:val="31"/>
        <w:numPr>
          <w:ilvl w:val="0"/>
          <w:numId w:val="7"/>
        </w:numPr>
        <w:ind w:firstLine="482" w:firstLineChars="200"/>
        <w:rPr>
          <w:b/>
          <w:bCs/>
          <w:color w:val="auto"/>
          <w:highlight w:val="none"/>
        </w:rPr>
      </w:pPr>
      <w:r>
        <w:rPr>
          <w:rFonts w:hint="eastAsia"/>
          <w:b/>
          <w:bCs/>
          <w:color w:val="auto"/>
          <w:highlight w:val="none"/>
        </w:rPr>
        <w:t>供应商参加本次政府采购活动应具备下列条件：</w:t>
      </w:r>
    </w:p>
    <w:p>
      <w:pPr>
        <w:pStyle w:val="31"/>
        <w:ind w:firstLine="480" w:firstLineChars="200"/>
        <w:rPr>
          <w:color w:val="auto"/>
          <w:highlight w:val="none"/>
          <w:lang w:val="zh-CN"/>
        </w:rPr>
      </w:pPr>
      <w:r>
        <w:rPr>
          <w:rFonts w:hint="eastAsia"/>
          <w:color w:val="auto"/>
          <w:highlight w:val="none"/>
        </w:rPr>
        <w:t>(一)</w:t>
      </w:r>
      <w:r>
        <w:rPr>
          <w:rFonts w:hint="eastAsia"/>
          <w:color w:val="auto"/>
          <w:highlight w:val="none"/>
          <w:lang w:val="zh-CN"/>
        </w:rPr>
        <w:t>符合《中华人民共和国政府采购法》第二十二条规定的条件：</w:t>
      </w:r>
    </w:p>
    <w:p>
      <w:pPr>
        <w:pStyle w:val="31"/>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31"/>
        <w:ind w:firstLine="480" w:firstLineChars="200"/>
        <w:rPr>
          <w:color w:val="auto"/>
          <w:highlight w:val="none"/>
        </w:rPr>
      </w:pPr>
      <w:r>
        <w:rPr>
          <w:rFonts w:hint="eastAsia"/>
          <w:color w:val="auto"/>
          <w:highlight w:val="none"/>
        </w:rPr>
        <w:t>2.具有良好的商业信誉和健全的财务会计制度；</w:t>
      </w:r>
    </w:p>
    <w:p>
      <w:pPr>
        <w:pStyle w:val="31"/>
        <w:ind w:firstLine="480" w:firstLineChars="200"/>
        <w:rPr>
          <w:color w:val="auto"/>
          <w:highlight w:val="none"/>
        </w:rPr>
      </w:pPr>
      <w:r>
        <w:rPr>
          <w:rFonts w:hint="eastAsia"/>
          <w:color w:val="auto"/>
          <w:highlight w:val="none"/>
        </w:rPr>
        <w:t>3.具有履行合同所必需的设备和专业技术能力；</w:t>
      </w:r>
    </w:p>
    <w:p>
      <w:pPr>
        <w:pStyle w:val="31"/>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rFonts w:hint="eastAsia"/>
          <w:color w:val="auto"/>
          <w:highlight w:val="none"/>
        </w:rPr>
        <w:fldChar w:fldCharType="end"/>
      </w:r>
      <w:r>
        <w:rPr>
          <w:rFonts w:hint="eastAsia"/>
          <w:color w:val="auto"/>
          <w:highlight w:val="none"/>
        </w:rPr>
        <w:t>资金的良好记录；</w:t>
      </w:r>
    </w:p>
    <w:p>
      <w:pPr>
        <w:pStyle w:val="31"/>
        <w:ind w:firstLine="480" w:firstLineChars="200"/>
        <w:rPr>
          <w:color w:val="auto"/>
          <w:highlight w:val="none"/>
        </w:rPr>
      </w:pPr>
      <w:r>
        <w:rPr>
          <w:rFonts w:hint="eastAsia"/>
          <w:color w:val="auto"/>
          <w:highlight w:val="none"/>
        </w:rPr>
        <w:t>5.参加政府采购活动前三年内，在经营活动中没有重大违法记录；</w:t>
      </w:r>
    </w:p>
    <w:p>
      <w:pPr>
        <w:pStyle w:val="31"/>
        <w:ind w:firstLine="480" w:firstLineChars="200"/>
        <w:rPr>
          <w:color w:val="auto"/>
          <w:highlight w:val="none"/>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w:t>
      </w:r>
    </w:p>
    <w:p>
      <w:pPr>
        <w:pStyle w:val="31"/>
        <w:ind w:firstLine="480" w:firstLineChars="200"/>
        <w:rPr>
          <w:color w:val="auto"/>
          <w:highlight w:val="none"/>
          <w:lang w:val="zh-CN"/>
        </w:rPr>
      </w:pPr>
      <w:r>
        <w:rPr>
          <w:rFonts w:hint="eastAsia"/>
          <w:color w:val="auto"/>
          <w:highlight w:val="none"/>
        </w:rPr>
        <w:t>(二)</w:t>
      </w:r>
      <w:r>
        <w:rPr>
          <w:rFonts w:hint="eastAsia"/>
          <w:color w:val="auto"/>
          <w:highlight w:val="none"/>
          <w:lang w:val="zh-CN"/>
        </w:rPr>
        <w:t>本项目的特定资格要求：</w:t>
      </w:r>
      <w:r>
        <w:rPr>
          <w:rFonts w:hint="eastAsia"/>
          <w:color w:val="auto"/>
          <w:highlight w:val="none"/>
        </w:rPr>
        <w:t>本项目不接受联合体投标。</w:t>
      </w:r>
    </w:p>
    <w:p>
      <w:pPr>
        <w:pStyle w:val="31"/>
        <w:numPr>
          <w:ilvl w:val="0"/>
          <w:numId w:val="7"/>
        </w:numPr>
        <w:ind w:firstLine="482" w:firstLineChars="200"/>
        <w:rPr>
          <w:b/>
          <w:bCs/>
          <w:color w:val="auto"/>
          <w:highlight w:val="none"/>
        </w:rPr>
      </w:pPr>
      <w:r>
        <w:rPr>
          <w:rFonts w:hint="eastAsia"/>
          <w:b/>
          <w:bCs/>
          <w:color w:val="auto"/>
          <w:highlight w:val="none"/>
        </w:rPr>
        <w:t>禁止参加本次采购活动的供应商</w:t>
      </w:r>
    </w:p>
    <w:p>
      <w:pPr>
        <w:pStyle w:val="42"/>
        <w:ind w:firstLine="480" w:firstLineChars="200"/>
        <w:rPr>
          <w:color w:val="auto"/>
          <w:highlight w:val="none"/>
        </w:rPr>
      </w:pPr>
      <w:bookmarkStart w:id="19" w:name="PO_默认文件内容_4"/>
      <w:r>
        <w:rPr>
          <w:rFonts w:hint="eastAsia"/>
          <w:color w:val="auto"/>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31"/>
        <w:numPr>
          <w:ilvl w:val="0"/>
          <w:numId w:val="7"/>
        </w:numPr>
        <w:ind w:firstLine="482" w:firstLineChars="200"/>
        <w:rPr>
          <w:b/>
          <w:bCs/>
          <w:color w:val="auto"/>
          <w:highlight w:val="none"/>
        </w:rPr>
      </w:pPr>
      <w:r>
        <w:rPr>
          <w:rFonts w:hint="eastAsia"/>
          <w:b/>
          <w:bCs/>
          <w:color w:val="auto"/>
          <w:highlight w:val="none"/>
        </w:rPr>
        <w:t>招标文件获取</w:t>
      </w:r>
    </w:p>
    <w:p>
      <w:pPr>
        <w:pStyle w:val="41"/>
        <w:numPr>
          <w:ilvl w:val="1"/>
          <w:numId w:val="8"/>
        </w:numPr>
        <w:ind w:firstLine="482"/>
        <w:rPr>
          <w:rFonts w:cs="宋体"/>
          <w:b/>
          <w:bCs/>
          <w:color w:val="auto"/>
          <w:highlight w:val="none"/>
          <w:lang w:val="zh-CN"/>
        </w:rPr>
      </w:pPr>
      <w:r>
        <w:rPr>
          <w:rFonts w:hint="eastAsia" w:cs="宋体"/>
          <w:b/>
          <w:bCs/>
          <w:color w:val="auto"/>
          <w:highlight w:val="none"/>
          <w:lang w:val="zh-CN"/>
        </w:rPr>
        <w:t>招标文件获取时间：</w:t>
      </w:r>
      <w:r>
        <w:rPr>
          <w:rFonts w:hint="eastAsia" w:cs="宋体"/>
          <w:color w:val="auto"/>
          <w:highlight w:val="none"/>
        </w:rPr>
        <w:t>2021年  月  日至2021年  月  日(北京时间，法定节假日除外)。</w:t>
      </w:r>
    </w:p>
    <w:p>
      <w:pPr>
        <w:pStyle w:val="41"/>
        <w:numPr>
          <w:ilvl w:val="1"/>
          <w:numId w:val="8"/>
        </w:numPr>
        <w:ind w:firstLine="482"/>
        <w:rPr>
          <w:rFonts w:cs="宋体"/>
          <w:b/>
          <w:bCs/>
          <w:color w:val="auto"/>
          <w:highlight w:val="none"/>
          <w:lang w:val="zh-CN"/>
        </w:rPr>
      </w:pPr>
      <w:r>
        <w:rPr>
          <w:rFonts w:hint="eastAsia" w:cs="宋体"/>
          <w:b/>
          <w:bCs/>
          <w:color w:val="auto"/>
          <w:highlight w:val="none"/>
          <w:lang w:val="zh-CN"/>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cs="宋体"/>
          <w:b/>
          <w:bCs/>
          <w:color w:val="auto"/>
          <w:highlight w:val="none"/>
          <w:lang w:val="zh-CN"/>
        </w:rPr>
        <w:t>https：//www.zcygov.cn)。登录“政府采购云平台”—项目采购—获取采购文件—申请获取采购文件</w:t>
      </w:r>
      <w:r>
        <w:rPr>
          <w:rFonts w:hint="eastAsia" w:cs="宋体"/>
          <w:b/>
          <w:bCs/>
          <w:color w:val="auto"/>
          <w:highlight w:val="none"/>
          <w:lang w:val="zh-CN"/>
        </w:rPr>
        <w:fldChar w:fldCharType="end"/>
      </w:r>
      <w:r>
        <w:rPr>
          <w:rFonts w:hint="eastAsia" w:cs="宋体"/>
          <w:b/>
          <w:bCs/>
          <w:color w:val="auto"/>
          <w:highlight w:val="none"/>
          <w:lang w:val="zh-CN"/>
        </w:rPr>
        <w:t>。</w:t>
      </w:r>
    </w:p>
    <w:p>
      <w:pPr>
        <w:pStyle w:val="31"/>
        <w:ind w:firstLine="482" w:firstLineChars="200"/>
        <w:rPr>
          <w:rFonts w:cs="宋体"/>
          <w:b/>
          <w:bCs/>
          <w:color w:val="auto"/>
          <w:highlight w:val="none"/>
          <w:lang w:val="zh-CN"/>
        </w:rPr>
      </w:pPr>
      <w:r>
        <w:rPr>
          <w:rFonts w:hint="eastAsia" w:cs="宋体"/>
          <w:b/>
          <w:bCs/>
          <w:color w:val="auto"/>
          <w:highlight w:val="none"/>
          <w:lang w:val="zh-CN"/>
        </w:rPr>
        <w:t>提示：</w:t>
      </w:r>
    </w:p>
    <w:p>
      <w:pPr>
        <w:pStyle w:val="31"/>
        <w:ind w:firstLine="482" w:firstLineChars="200"/>
        <w:rPr>
          <w:rFonts w:cs="宋体"/>
          <w:b/>
          <w:bCs/>
          <w:color w:val="auto"/>
          <w:highlight w:val="none"/>
          <w:lang w:val="zh-CN"/>
        </w:rPr>
      </w:pPr>
      <w:r>
        <w:rPr>
          <w:rFonts w:hint="eastAsia" w:cs="宋体"/>
          <w:b/>
          <w:bCs/>
          <w:color w:val="auto"/>
          <w:highlight w:val="none"/>
          <w:lang w:val="zh-CN"/>
        </w:rPr>
        <w:t>(1)本项目招标文件免费获取，</w:t>
      </w:r>
      <w:r>
        <w:rPr>
          <w:rFonts w:hint="eastAsia" w:cs="宋体"/>
          <w:b/>
          <w:bCs/>
          <w:color w:val="auto"/>
          <w:highlight w:val="none"/>
        </w:rPr>
        <w:t>投标资格不得转让</w:t>
      </w:r>
      <w:r>
        <w:rPr>
          <w:rFonts w:hint="eastAsia" w:cs="宋体"/>
          <w:b/>
          <w:bCs/>
          <w:color w:val="auto"/>
          <w:highlight w:val="none"/>
          <w:lang w:val="zh-CN"/>
        </w:rPr>
        <w:t>。</w:t>
      </w:r>
    </w:p>
    <w:p>
      <w:pPr>
        <w:pStyle w:val="31"/>
        <w:ind w:firstLine="482" w:firstLineChars="200"/>
        <w:rPr>
          <w:rFonts w:cs="宋体"/>
          <w:b/>
          <w:bCs/>
          <w:color w:val="auto"/>
          <w:highlight w:val="none"/>
          <w:lang w:val="zh-CN"/>
        </w:rPr>
      </w:pPr>
      <w:r>
        <w:rPr>
          <w:rFonts w:hint="eastAsia" w:cs="宋体"/>
          <w:b/>
          <w:bCs/>
          <w:color w:val="auto"/>
          <w:highlight w:val="none"/>
          <w:lang w:val="zh-CN"/>
        </w:rPr>
        <w:t>(2)投标人只有在“政府采购云平台”完成获取招标文件申请并下载招标文件后才视作依法参与本项目。如未在“政府采购云平台”内完成相关流程，引起的投标无效责任自负。</w:t>
      </w:r>
    </w:p>
    <w:p>
      <w:pPr>
        <w:pStyle w:val="31"/>
        <w:ind w:firstLine="482" w:firstLineChars="200"/>
        <w:rPr>
          <w:color w:val="auto"/>
          <w:highlight w:val="none"/>
        </w:rPr>
      </w:pPr>
      <w:r>
        <w:rPr>
          <w:rFonts w:hint="eastAsia" w:cs="宋体"/>
          <w:b/>
          <w:bCs/>
          <w:color w:val="auto"/>
          <w:highlight w:val="none"/>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color w:val="auto"/>
          <w:highlight w:val="none"/>
        </w:rPr>
        <w:t>一：</w:t>
      </w:r>
      <w:r>
        <w:rPr>
          <w:rFonts w:hint="eastAsia" w:cs="宋体"/>
          <w:b/>
          <w:bCs/>
          <w:color w:val="auto"/>
          <w:highlight w:val="none"/>
          <w:lang w:val="zh-CN"/>
        </w:rPr>
        <w:t>政府采购云平台使用介绍)</w:t>
      </w:r>
      <w:r>
        <w:rPr>
          <w:rFonts w:hint="eastAsia"/>
          <w:color w:val="auto"/>
          <w:highlight w:val="none"/>
        </w:rPr>
        <w:t>。</w:t>
      </w:r>
    </w:p>
    <w:p>
      <w:pPr>
        <w:pStyle w:val="31"/>
        <w:numPr>
          <w:ilvl w:val="0"/>
          <w:numId w:val="7"/>
        </w:numPr>
        <w:ind w:firstLine="482" w:firstLineChars="200"/>
        <w:rPr>
          <w:rFonts w:cs="宋体"/>
          <w:b/>
          <w:bCs/>
          <w:color w:val="auto"/>
          <w:highlight w:val="none"/>
        </w:rPr>
      </w:pPr>
      <w:r>
        <w:rPr>
          <w:rFonts w:hint="eastAsia" w:cs="宋体"/>
          <w:b/>
          <w:bCs/>
          <w:color w:val="auto"/>
          <w:highlight w:val="none"/>
        </w:rPr>
        <w:t>提交投标文件截止时间及开标时间：</w:t>
      </w:r>
      <w:r>
        <w:rPr>
          <w:rFonts w:hint="eastAsia" w:cs="宋体"/>
          <w:color w:val="auto"/>
          <w:highlight w:val="none"/>
        </w:rPr>
        <w:t>2021年  月  日09时30分。</w:t>
      </w:r>
    </w:p>
    <w:p>
      <w:pPr>
        <w:pStyle w:val="31"/>
        <w:ind w:firstLine="482" w:firstLineChars="200"/>
        <w:rPr>
          <w:color w:val="auto"/>
          <w:highlight w:val="none"/>
        </w:rPr>
      </w:pPr>
      <w:r>
        <w:rPr>
          <w:rFonts w:hint="eastAsia" w:cs="宋体"/>
          <w:b/>
          <w:bCs/>
          <w:color w:val="auto"/>
          <w:highlight w:val="none"/>
        </w:rPr>
        <w:t>投标截止时间前，投标人应将加密的电子投标文件递交至“政府采购云平台”对应项目(包件)</w:t>
      </w:r>
      <w:r>
        <w:rPr>
          <w:rFonts w:hint="eastAsia"/>
          <w:color w:val="auto"/>
          <w:highlight w:val="none"/>
        </w:rPr>
        <w:t>。</w:t>
      </w:r>
    </w:p>
    <w:p>
      <w:pPr>
        <w:pStyle w:val="31"/>
        <w:numPr>
          <w:ilvl w:val="0"/>
          <w:numId w:val="7"/>
        </w:numPr>
        <w:ind w:firstLine="482" w:firstLineChars="200"/>
        <w:rPr>
          <w:rFonts w:cs="宋体"/>
          <w:b/>
          <w:bCs/>
          <w:color w:val="auto"/>
          <w:highlight w:val="none"/>
        </w:rPr>
      </w:pPr>
      <w:r>
        <w:rPr>
          <w:rFonts w:hint="eastAsia" w:cs="宋体"/>
          <w:b/>
          <w:bCs/>
          <w:color w:val="auto"/>
          <w:highlight w:val="none"/>
        </w:rPr>
        <w:t>开标地点</w:t>
      </w:r>
    </w:p>
    <w:p>
      <w:pPr>
        <w:wordWrap w:val="0"/>
        <w:ind w:firstLine="480" w:firstLineChars="200"/>
        <w:rPr>
          <w:rFonts w:cs="宋体"/>
          <w:snapToGrid w:val="0"/>
          <w:color w:val="auto"/>
          <w:highlight w:val="none"/>
        </w:rPr>
      </w:pPr>
      <w:r>
        <w:rPr>
          <w:rFonts w:hint="eastAsia" w:cs="宋体"/>
          <w:snapToGrid w:val="0"/>
          <w:color w:val="auto"/>
          <w:highlight w:val="none"/>
        </w:rPr>
        <w:t>(一)本项目为不见面开标项目。</w:t>
      </w:r>
    </w:p>
    <w:p>
      <w:pPr>
        <w:wordWrap w:val="0"/>
        <w:ind w:firstLine="480" w:firstLineChars="200"/>
        <w:rPr>
          <w:rFonts w:cs="宋体"/>
          <w:snapToGrid w:val="0"/>
          <w:color w:val="auto"/>
          <w:highlight w:val="none"/>
        </w:rPr>
      </w:pPr>
      <w:r>
        <w:rPr>
          <w:rFonts w:hint="eastAsia" w:cs="宋体"/>
          <w:snapToGrid w:val="0"/>
          <w:color w:val="auto"/>
          <w:highlight w:val="none"/>
        </w:rPr>
        <w:t>(二)开标地点：政府采购云平台(https：//www.zcygov.cn)</w:t>
      </w:r>
    </w:p>
    <w:p>
      <w:pPr>
        <w:pStyle w:val="31"/>
        <w:ind w:firstLine="480" w:firstLineChars="200"/>
        <w:rPr>
          <w:b/>
          <w:bCs/>
          <w:color w:val="auto"/>
          <w:highlight w:val="none"/>
        </w:rPr>
      </w:pPr>
      <w:r>
        <w:rPr>
          <w:rFonts w:hint="eastAsia" w:cs="宋体"/>
          <w:color w:val="auto"/>
          <w:highlight w:val="none"/>
        </w:rPr>
        <w:t>(三)本项目只接受投标人加密并递交至“政府采购云平台”的投标文件</w:t>
      </w:r>
      <w:r>
        <w:rPr>
          <w:rFonts w:hint="eastAsia"/>
          <w:color w:val="auto"/>
          <w:highlight w:val="none"/>
        </w:rPr>
        <w:t>。</w:t>
      </w:r>
    </w:p>
    <w:p>
      <w:pPr>
        <w:pStyle w:val="31"/>
        <w:numPr>
          <w:ilvl w:val="0"/>
          <w:numId w:val="7"/>
        </w:numPr>
        <w:ind w:firstLine="480" w:firstLineChars="200"/>
        <w:rPr>
          <w:b/>
          <w:bCs/>
          <w:color w:val="auto"/>
          <w:highlight w:val="none"/>
        </w:rPr>
      </w:pPr>
      <w:r>
        <w:rPr>
          <w:rFonts w:hint="eastAsia" w:cs="宋体"/>
          <w:color w:val="auto"/>
          <w:highlight w:val="none"/>
        </w:rPr>
        <w:t>本投标邀请在“四川政府采购网”上以公告形式发布</w:t>
      </w:r>
      <w:r>
        <w:rPr>
          <w:rFonts w:hint="eastAsia"/>
          <w:color w:val="auto"/>
          <w:highlight w:val="none"/>
        </w:rPr>
        <w:t>。</w:t>
      </w:r>
    </w:p>
    <w:p>
      <w:pPr>
        <w:pStyle w:val="31"/>
        <w:numPr>
          <w:ilvl w:val="0"/>
          <w:numId w:val="7"/>
        </w:numPr>
        <w:ind w:firstLine="482" w:firstLineChars="200"/>
        <w:rPr>
          <w:b/>
          <w:bCs/>
          <w:color w:val="auto"/>
          <w:highlight w:val="none"/>
        </w:rPr>
      </w:pPr>
      <w:r>
        <w:rPr>
          <w:rFonts w:hint="eastAsia"/>
          <w:b/>
          <w:bCs/>
          <w:color w:val="auto"/>
          <w:highlight w:val="none"/>
        </w:rPr>
        <w:t>供应商信用融资：</w:t>
      </w:r>
    </w:p>
    <w:p>
      <w:pPr>
        <w:pStyle w:val="35"/>
        <w:jc w:val="both"/>
        <w:rPr>
          <w:color w:val="auto"/>
          <w:highlight w:val="none"/>
        </w:rPr>
      </w:pPr>
      <w:r>
        <w:rPr>
          <w:rFonts w:hint="eastAsia"/>
          <w:color w:val="auto"/>
          <w:highlight w:val="none"/>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31"/>
        <w:numPr>
          <w:ilvl w:val="0"/>
          <w:numId w:val="7"/>
        </w:numPr>
        <w:ind w:firstLine="482" w:firstLineChars="200"/>
        <w:rPr>
          <w:b/>
          <w:bCs/>
          <w:color w:val="auto"/>
          <w:highlight w:val="none"/>
        </w:rPr>
      </w:pPr>
      <w:r>
        <w:rPr>
          <w:rFonts w:hint="eastAsia"/>
          <w:b/>
          <w:bCs/>
          <w:color w:val="auto"/>
          <w:highlight w:val="none"/>
        </w:rPr>
        <w:t>对本次招标提出询问，请按以下方式联系：</w:t>
      </w:r>
    </w:p>
    <w:p>
      <w:pPr>
        <w:pStyle w:val="31"/>
        <w:ind w:firstLine="480" w:firstLineChars="200"/>
        <w:rPr>
          <w:color w:val="auto"/>
          <w:highlight w:val="none"/>
        </w:rPr>
      </w:pPr>
      <w:r>
        <w:rPr>
          <w:rFonts w:hint="eastAsia"/>
          <w:color w:val="auto"/>
          <w:highlight w:val="none"/>
        </w:rPr>
        <w:t>(一)采购人信息</w:t>
      </w:r>
    </w:p>
    <w:p>
      <w:pPr>
        <w:pStyle w:val="31"/>
        <w:ind w:firstLine="480" w:firstLineChars="200"/>
        <w:rPr>
          <w:rFonts w:cs="宋体"/>
          <w:color w:val="auto"/>
          <w:highlight w:val="none"/>
        </w:rPr>
      </w:pPr>
      <w:r>
        <w:rPr>
          <w:rFonts w:hint="eastAsia" w:cs="宋体"/>
          <w:color w:val="auto"/>
          <w:highlight w:val="none"/>
        </w:rPr>
        <w:t>名    称：成都市技师学院</w:t>
      </w:r>
    </w:p>
    <w:p>
      <w:pPr>
        <w:pStyle w:val="31"/>
        <w:ind w:firstLine="480" w:firstLineChars="200"/>
        <w:rPr>
          <w:rFonts w:cs="宋体"/>
          <w:color w:val="auto"/>
          <w:highlight w:val="none"/>
        </w:rPr>
      </w:pPr>
      <w:r>
        <w:rPr>
          <w:rFonts w:hint="eastAsia" w:cs="宋体"/>
          <w:color w:val="auto"/>
          <w:highlight w:val="none"/>
        </w:rPr>
        <w:t>地    址：成都市郫都区红光街道港通北三路1899号</w:t>
      </w:r>
    </w:p>
    <w:p>
      <w:pPr>
        <w:pStyle w:val="31"/>
        <w:ind w:firstLine="480" w:firstLineChars="200"/>
        <w:rPr>
          <w:rFonts w:cs="宋体"/>
          <w:color w:val="auto"/>
          <w:highlight w:val="none"/>
        </w:rPr>
      </w:pPr>
      <w:r>
        <w:rPr>
          <w:rFonts w:hint="eastAsia" w:cs="宋体"/>
          <w:color w:val="auto"/>
          <w:highlight w:val="none"/>
        </w:rPr>
        <w:t xml:space="preserve">联 系 人：何倩  </w:t>
      </w:r>
    </w:p>
    <w:p>
      <w:pPr>
        <w:pStyle w:val="31"/>
        <w:ind w:firstLine="480" w:firstLineChars="200"/>
        <w:rPr>
          <w:rFonts w:cs="宋体"/>
          <w:color w:val="auto"/>
          <w:highlight w:val="none"/>
        </w:rPr>
      </w:pPr>
      <w:r>
        <w:rPr>
          <w:rFonts w:hint="eastAsia" w:cs="宋体"/>
          <w:color w:val="auto"/>
          <w:highlight w:val="none"/>
        </w:rPr>
        <w:t>联系方式：028-64907283</w:t>
      </w:r>
    </w:p>
    <w:p>
      <w:pPr>
        <w:pStyle w:val="31"/>
        <w:ind w:firstLine="480" w:firstLineChars="200"/>
        <w:rPr>
          <w:rFonts w:cs="宋体"/>
          <w:color w:val="auto"/>
          <w:highlight w:val="none"/>
        </w:rPr>
      </w:pPr>
      <w:r>
        <w:rPr>
          <w:rFonts w:hint="eastAsia" w:cs="宋体"/>
          <w:color w:val="auto"/>
          <w:highlight w:val="none"/>
        </w:rPr>
        <w:t>(二)采购代理机构信息</w:t>
      </w:r>
    </w:p>
    <w:p>
      <w:pPr>
        <w:pStyle w:val="31"/>
        <w:ind w:firstLine="480" w:firstLineChars="200"/>
        <w:rPr>
          <w:rFonts w:cs="宋体"/>
          <w:color w:val="auto"/>
          <w:highlight w:val="none"/>
        </w:rPr>
      </w:pPr>
      <w:r>
        <w:rPr>
          <w:rFonts w:hint="eastAsia" w:cs="宋体"/>
          <w:color w:val="auto"/>
          <w:highlight w:val="none"/>
        </w:rPr>
        <w:t>名    称：四川乾新招投标代理有限公司</w:t>
      </w:r>
    </w:p>
    <w:p>
      <w:pPr>
        <w:pStyle w:val="31"/>
        <w:ind w:firstLine="480" w:firstLineChars="200"/>
        <w:rPr>
          <w:rFonts w:cs="宋体"/>
          <w:color w:val="auto"/>
          <w:highlight w:val="none"/>
        </w:rPr>
      </w:pPr>
      <w:r>
        <w:rPr>
          <w:rFonts w:hint="eastAsia" w:cs="宋体"/>
          <w:color w:val="auto"/>
          <w:highlight w:val="none"/>
        </w:rPr>
        <w:t>地    址：</w:t>
      </w:r>
      <w:r>
        <w:rPr>
          <w:rFonts w:hint="eastAsia" w:cs="宋体"/>
          <w:color w:val="auto"/>
          <w:highlight w:val="none"/>
          <w:lang w:val="zh-CN"/>
        </w:rPr>
        <w:t>成都市高新区吉庆三路333号蜀都中心二期一号楼一单元401号</w:t>
      </w:r>
    </w:p>
    <w:p>
      <w:pPr>
        <w:pStyle w:val="31"/>
        <w:ind w:firstLine="480" w:firstLineChars="200"/>
        <w:rPr>
          <w:rFonts w:cs="宋体"/>
          <w:color w:val="auto"/>
          <w:highlight w:val="none"/>
        </w:rPr>
      </w:pPr>
      <w:r>
        <w:rPr>
          <w:rFonts w:hint="eastAsia" w:cs="宋体"/>
          <w:color w:val="auto"/>
          <w:highlight w:val="none"/>
        </w:rPr>
        <w:t xml:space="preserve">联 系 人：王朝钢 </w:t>
      </w:r>
    </w:p>
    <w:p>
      <w:pPr>
        <w:pStyle w:val="31"/>
        <w:ind w:firstLine="480" w:firstLineChars="200"/>
        <w:rPr>
          <w:rFonts w:cs="宋体"/>
          <w:color w:val="auto"/>
          <w:highlight w:val="none"/>
        </w:rPr>
      </w:pPr>
      <w:r>
        <w:rPr>
          <w:rFonts w:hint="eastAsia" w:cs="宋体"/>
          <w:color w:val="auto"/>
          <w:highlight w:val="none"/>
          <w:lang w:val="zh-CN"/>
        </w:rPr>
        <w:t>联系电话：028-61375575、62600820、62630990转</w:t>
      </w:r>
      <w:r>
        <w:rPr>
          <w:rFonts w:hint="eastAsia" w:cs="宋体"/>
          <w:color w:val="auto"/>
          <w:highlight w:val="none"/>
        </w:rPr>
        <w:t>627</w:t>
      </w:r>
    </w:p>
    <w:p>
      <w:pPr>
        <w:pStyle w:val="31"/>
        <w:ind w:firstLine="480" w:firstLineChars="200"/>
        <w:rPr>
          <w:rFonts w:cs="宋体"/>
          <w:color w:val="auto"/>
          <w:highlight w:val="none"/>
          <w:lang w:val="zh-CN"/>
        </w:rPr>
      </w:pPr>
      <w:r>
        <w:rPr>
          <w:rFonts w:hint="eastAsia" w:cs="宋体"/>
          <w:color w:val="auto"/>
          <w:highlight w:val="none"/>
          <w:lang w:val="zh-CN"/>
        </w:rPr>
        <w:t>传    真：</w:t>
      </w:r>
      <w:r>
        <w:rPr>
          <w:rFonts w:hint="eastAsia" w:cs="宋体"/>
          <w:color w:val="auto"/>
          <w:highlight w:val="none"/>
        </w:rPr>
        <w:t>028-</w:t>
      </w:r>
      <w:r>
        <w:rPr>
          <w:rFonts w:hint="eastAsia" w:cs="宋体"/>
          <w:color w:val="auto"/>
          <w:highlight w:val="none"/>
          <w:lang w:val="zh-CN"/>
        </w:rPr>
        <w:t>83381</w:t>
      </w:r>
      <w:r>
        <w:rPr>
          <w:rFonts w:hint="eastAsia" w:cs="宋体"/>
          <w:color w:val="auto"/>
          <w:highlight w:val="none"/>
        </w:rPr>
        <w:t>268</w:t>
      </w:r>
    </w:p>
    <w:p>
      <w:pPr>
        <w:pStyle w:val="31"/>
        <w:ind w:firstLine="480" w:firstLineChars="200"/>
        <w:rPr>
          <w:rFonts w:cs="宋体"/>
          <w:color w:val="auto"/>
          <w:highlight w:val="none"/>
          <w:lang w:val="zh-CN"/>
        </w:rPr>
      </w:pPr>
      <w:r>
        <w:rPr>
          <w:rFonts w:hint="eastAsia" w:cs="宋体"/>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s="宋体"/>
          <w:color w:val="auto"/>
          <w:highlight w:val="none"/>
          <w:lang w:val="zh-CN"/>
        </w:rPr>
        <w:t>scqxzb@163.com</w:t>
      </w:r>
      <w:r>
        <w:rPr>
          <w:rFonts w:hint="eastAsia" w:cs="宋体"/>
          <w:color w:val="auto"/>
          <w:highlight w:val="none"/>
          <w:lang w:val="zh-CN"/>
        </w:rPr>
        <w:fldChar w:fldCharType="end"/>
      </w:r>
    </w:p>
    <w:p>
      <w:pPr>
        <w:pStyle w:val="30"/>
        <w:spacing w:before="120" w:after="120"/>
        <w:rPr>
          <w:color w:val="auto"/>
          <w:highlight w:val="none"/>
        </w:rPr>
      </w:pPr>
      <w:r>
        <w:rPr>
          <w:rFonts w:hint="eastAsia"/>
          <w:color w:val="auto"/>
          <w:highlight w:val="none"/>
        </w:rPr>
        <w:br w:type="page"/>
      </w:r>
      <w:bookmarkEnd w:id="14"/>
      <w:bookmarkEnd w:id="15"/>
      <w:bookmarkEnd w:id="16"/>
      <w:bookmarkEnd w:id="17"/>
      <w:bookmarkEnd w:id="18"/>
      <w:bookmarkStart w:id="20" w:name="_Toc30888"/>
      <w:bookmarkStart w:id="21" w:name="_Toc3620"/>
      <w:bookmarkStart w:id="22" w:name="_Toc25668"/>
      <w:bookmarkStart w:id="23" w:name="_Toc2482"/>
      <w:bookmarkStart w:id="24" w:name="_Toc7416"/>
      <w:r>
        <w:rPr>
          <w:rFonts w:hint="eastAsia"/>
          <w:color w:val="auto"/>
          <w:highlight w:val="none"/>
        </w:rPr>
        <w:t>投标人须知</w:t>
      </w:r>
      <w:bookmarkEnd w:id="20"/>
      <w:bookmarkEnd w:id="21"/>
      <w:bookmarkEnd w:id="22"/>
      <w:bookmarkEnd w:id="23"/>
      <w:bookmarkEnd w:id="24"/>
    </w:p>
    <w:p>
      <w:pPr>
        <w:pStyle w:val="50"/>
        <w:spacing w:before="120" w:after="120"/>
        <w:rPr>
          <w:color w:val="auto"/>
          <w:highlight w:val="none"/>
        </w:rPr>
      </w:pPr>
      <w:bookmarkStart w:id="25" w:name="_Toc18071"/>
      <w:bookmarkStart w:id="26" w:name="_Toc189727030"/>
      <w:bookmarkStart w:id="27" w:name="_Toc28824"/>
      <w:bookmarkStart w:id="28" w:name="_Toc217446032"/>
      <w:bookmarkStart w:id="29" w:name="_Toc213397010"/>
      <w:bookmarkStart w:id="30" w:name="_Toc213396946"/>
      <w:bookmarkStart w:id="31" w:name="_Toc6734"/>
      <w:bookmarkStart w:id="32" w:name="_Toc14035"/>
      <w:bookmarkStart w:id="33" w:name="_Toc213496268"/>
      <w:bookmarkStart w:id="34" w:name="_Toc213396760"/>
      <w:bookmarkStart w:id="35" w:name="_Toc31215"/>
      <w:bookmarkStart w:id="36" w:name="_Toc327196261"/>
      <w:r>
        <w:rPr>
          <w:rFonts w:hint="eastAsia"/>
          <w:color w:val="auto"/>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b/>
                <w:bCs/>
                <w:color w:val="auto"/>
                <w:sz w:val="21"/>
                <w:szCs w:val="21"/>
                <w:highlight w:val="none"/>
                <w:lang w:val="zh-CN"/>
              </w:rPr>
            </w:pPr>
            <w:bookmarkStart w:id="37" w:name="_Toc327196262"/>
            <w:r>
              <w:rPr>
                <w:rFonts w:hint="eastAsia"/>
                <w:b/>
                <w:bCs/>
                <w:color w:val="auto"/>
                <w:sz w:val="21"/>
                <w:szCs w:val="21"/>
                <w:highlight w:val="none"/>
                <w:lang w:val="zh-CN"/>
              </w:rPr>
              <w:t>序号</w:t>
            </w: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b/>
                <w:bCs/>
                <w:color w:val="auto"/>
                <w:sz w:val="21"/>
                <w:szCs w:val="21"/>
                <w:highlight w:val="none"/>
                <w:lang w:val="zh-CN"/>
              </w:rPr>
            </w:pPr>
            <w:r>
              <w:rPr>
                <w:rFonts w:hint="eastAsia"/>
                <w:b/>
                <w:bCs/>
                <w:color w:val="auto"/>
                <w:sz w:val="21"/>
                <w:szCs w:val="21"/>
                <w:highlight w:val="none"/>
              </w:rPr>
              <w:t>条款名称</w:t>
            </w:r>
            <w:r>
              <w:rPr>
                <w:rFonts w:hint="eastAsia"/>
                <w:b/>
                <w:bCs/>
                <w:color w:val="auto"/>
                <w:sz w:val="21"/>
                <w:szCs w:val="21"/>
                <w:highlight w:val="none"/>
                <w:lang w:val="zh-CN"/>
              </w:rPr>
              <w:t xml:space="preserve"> </w:t>
            </w:r>
          </w:p>
        </w:tc>
        <w:tc>
          <w:tcPr>
            <w:tcW w:w="7171"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b/>
                <w:bCs/>
                <w:color w:val="auto"/>
                <w:sz w:val="21"/>
                <w:szCs w:val="21"/>
                <w:highlight w:val="none"/>
                <w:lang w:val="zh-CN"/>
              </w:rPr>
            </w:pPr>
            <w:r>
              <w:rPr>
                <w:rFonts w:hint="eastAsia"/>
                <w:b/>
                <w:bCs/>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采购预算、</w:t>
            </w:r>
            <w:r>
              <w:rPr>
                <w:rFonts w:hint="eastAsia"/>
                <w:color w:val="auto"/>
                <w:sz w:val="21"/>
                <w:szCs w:val="21"/>
                <w:highlight w:val="none"/>
                <w:lang w:val="en-US" w:eastAsia="zh-CN"/>
              </w:rPr>
              <w:t>最高限价及</w:t>
            </w:r>
            <w:r>
              <w:rPr>
                <w:rFonts w:hint="eastAsia"/>
                <w:color w:val="auto"/>
                <w:sz w:val="21"/>
                <w:szCs w:val="21"/>
                <w:highlight w:val="none"/>
              </w:rPr>
              <w:t>报价要求</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w:t>
            </w:r>
            <w:r>
              <w:rPr>
                <w:rFonts w:hint="eastAsia"/>
                <w:color w:val="auto"/>
                <w:sz w:val="21"/>
                <w:szCs w:val="21"/>
                <w:highlight w:val="none"/>
                <w:lang w:val="zh-CN"/>
              </w:rPr>
              <w:t>本项目</w:t>
            </w:r>
            <w:r>
              <w:rPr>
                <w:rFonts w:hint="eastAsia"/>
                <w:color w:val="auto"/>
                <w:sz w:val="21"/>
                <w:szCs w:val="21"/>
                <w:highlight w:val="none"/>
              </w:rPr>
              <w:t>采购</w:t>
            </w:r>
            <w:r>
              <w:rPr>
                <w:rFonts w:hint="eastAsia"/>
                <w:color w:val="auto"/>
                <w:sz w:val="21"/>
                <w:szCs w:val="21"/>
                <w:highlight w:val="none"/>
                <w:lang w:val="zh-CN"/>
              </w:rPr>
              <w:t>预算、</w:t>
            </w:r>
            <w:r>
              <w:rPr>
                <w:rFonts w:hint="eastAsia"/>
                <w:color w:val="auto"/>
                <w:sz w:val="21"/>
                <w:szCs w:val="21"/>
                <w:highlight w:val="none"/>
                <w:lang w:val="en-US" w:eastAsia="zh-CN"/>
              </w:rPr>
              <w:t>最高限价</w:t>
            </w:r>
            <w:r>
              <w:rPr>
                <w:rFonts w:hint="eastAsia"/>
                <w:color w:val="auto"/>
                <w:sz w:val="21"/>
                <w:szCs w:val="21"/>
                <w:highlight w:val="none"/>
                <w:lang w:val="zh-CN"/>
              </w:rPr>
              <w:t>为人民币</w:t>
            </w:r>
            <w:r>
              <w:rPr>
                <w:rFonts w:hint="eastAsia"/>
                <w:color w:val="auto"/>
                <w:sz w:val="21"/>
                <w:szCs w:val="21"/>
                <w:highlight w:val="none"/>
              </w:rPr>
              <w:t>200万</w:t>
            </w:r>
            <w:r>
              <w:rPr>
                <w:rFonts w:hint="eastAsia"/>
                <w:color w:val="auto"/>
                <w:sz w:val="21"/>
                <w:szCs w:val="21"/>
                <w:highlight w:val="none"/>
                <w:lang w:val="zh-CN"/>
              </w:rPr>
              <w:t>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w:t>
            </w:r>
            <w:r>
              <w:rPr>
                <w:rFonts w:hint="eastAsia"/>
                <w:color w:val="auto"/>
                <w:sz w:val="21"/>
                <w:szCs w:val="21"/>
                <w:highlight w:val="none"/>
                <w:lang w:val="zh-CN"/>
              </w:rPr>
              <w:t>本项目</w:t>
            </w:r>
            <w:r>
              <w:rPr>
                <w:rFonts w:hint="eastAsia"/>
                <w:color w:val="auto"/>
                <w:sz w:val="21"/>
                <w:szCs w:val="21"/>
                <w:highlight w:val="none"/>
              </w:rPr>
              <w:t>投标报价</w:t>
            </w:r>
            <w:r>
              <w:rPr>
                <w:rFonts w:hint="eastAsia"/>
                <w:color w:val="auto"/>
                <w:sz w:val="21"/>
                <w:szCs w:val="21"/>
                <w:highlight w:val="none"/>
                <w:lang w:val="zh-CN"/>
              </w:rPr>
              <w:t>不</w:t>
            </w:r>
            <w:r>
              <w:rPr>
                <w:rFonts w:hint="eastAsia"/>
                <w:color w:val="auto"/>
                <w:sz w:val="21"/>
                <w:szCs w:val="21"/>
                <w:highlight w:val="none"/>
              </w:rPr>
              <w:t>得</w:t>
            </w:r>
            <w:r>
              <w:rPr>
                <w:rFonts w:hint="eastAsia"/>
                <w:color w:val="auto"/>
                <w:sz w:val="21"/>
                <w:szCs w:val="21"/>
                <w:highlight w:val="none"/>
                <w:lang w:val="zh-CN"/>
              </w:rPr>
              <w:t>超过</w:t>
            </w:r>
            <w:r>
              <w:rPr>
                <w:rFonts w:hint="eastAsia"/>
                <w:color w:val="auto"/>
                <w:sz w:val="21"/>
                <w:szCs w:val="21"/>
                <w:highlight w:val="none"/>
              </w:rPr>
              <w:t>采购</w:t>
            </w:r>
            <w:r>
              <w:rPr>
                <w:rFonts w:hint="eastAsia"/>
                <w:color w:val="auto"/>
                <w:sz w:val="21"/>
                <w:szCs w:val="21"/>
                <w:highlight w:val="none"/>
                <w:lang w:val="zh-CN"/>
              </w:rPr>
              <w:t>预算</w:t>
            </w:r>
            <w:r>
              <w:rPr>
                <w:rFonts w:hint="eastAsia"/>
                <w:color w:val="auto"/>
                <w:sz w:val="21"/>
                <w:szCs w:val="21"/>
                <w:highlight w:val="none"/>
                <w:lang w:val="en-US" w:eastAsia="zh-CN"/>
              </w:rPr>
              <w:t>及最高限价</w:t>
            </w:r>
            <w:r>
              <w:rPr>
                <w:rFonts w:hint="eastAsia"/>
                <w:color w:val="auto"/>
                <w:sz w:val="21"/>
                <w:szCs w:val="21"/>
                <w:highlight w:val="none"/>
                <w:lang w:val="zh-CN"/>
              </w:rPr>
              <w:t>，</w:t>
            </w:r>
            <w:r>
              <w:rPr>
                <w:rFonts w:hint="eastAsia"/>
                <w:color w:val="auto"/>
                <w:sz w:val="21"/>
                <w:szCs w:val="21"/>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项目属性</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本项目属于货物类采购项目，不对其中涉及的服务的承接商是否享受中小企业扶持政策作出要求。</w:t>
            </w:r>
            <w:bookmarkStart w:id="1285" w:name="_GoBack"/>
            <w:bookmarkEnd w:id="12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本项目所属行业</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定向采购</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本项目为</w:t>
            </w:r>
            <w:r>
              <w:rPr>
                <w:rFonts w:hint="eastAsia"/>
                <w:color w:val="auto"/>
                <w:sz w:val="21"/>
                <w:szCs w:val="21"/>
                <w:highlight w:val="none"/>
                <w:lang w:val="zh-CN"/>
              </w:rPr>
              <w:t>非专门面向中小企业</w:t>
            </w:r>
            <w:r>
              <w:rPr>
                <w:rFonts w:hint="eastAsia"/>
                <w:color w:val="auto"/>
                <w:sz w:val="21"/>
                <w:szCs w:val="21"/>
                <w:highlight w:val="none"/>
              </w:rPr>
              <w:t>采购</w:t>
            </w:r>
            <w:r>
              <w:rPr>
                <w:rFonts w:hint="eastAsia"/>
                <w:color w:val="auto"/>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竞争范围</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s="宋体"/>
                <w:color w:val="auto"/>
                <w:sz w:val="21"/>
                <w:szCs w:val="21"/>
                <w:highlight w:val="none"/>
              </w:rPr>
              <w:t>公开竞争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是否允许进口产品投标</w:t>
            </w:r>
            <w:r>
              <w:rPr>
                <w:rFonts w:hint="eastAsia"/>
                <w:color w:val="auto"/>
                <w:sz w:val="21"/>
                <w:szCs w:val="21"/>
                <w:highlight w:val="none"/>
                <w:lang w:val="zh-CN"/>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本项目不允许进口产品投标，</w:t>
            </w:r>
            <w:r>
              <w:rPr>
                <w:rFonts w:hint="eastAsia"/>
                <w:color w:val="auto"/>
                <w:sz w:val="21"/>
                <w:szCs w:val="21"/>
                <w:highlight w:val="none"/>
                <w:lang w:val="zh-CN"/>
              </w:rPr>
              <w:t>根据《中华人民共和国政府采购法》第十条的规定，本项目采购本国</w:t>
            </w:r>
            <w:r>
              <w:rPr>
                <w:rFonts w:hint="eastAsia"/>
                <w:color w:val="auto"/>
                <w:sz w:val="21"/>
                <w:szCs w:val="21"/>
                <w:highlight w:val="none"/>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采购方式</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评标方法</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rPr>
            </w:pPr>
            <w:r>
              <w:rPr>
                <w:rFonts w:hint="eastAsia"/>
                <w:color w:val="auto"/>
                <w:sz w:val="21"/>
                <w:szCs w:val="21"/>
                <w:highlight w:val="none"/>
              </w:rPr>
              <w:t>合同</w:t>
            </w:r>
            <w:r>
              <w:rPr>
                <w:rFonts w:hint="eastAsia" w:cs="宋体"/>
                <w:color w:val="auto"/>
                <w:sz w:val="21"/>
                <w:szCs w:val="21"/>
                <w:highlight w:val="none"/>
              </w:rPr>
              <w:t>定价方式</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s="宋体"/>
                <w:color w:val="auto"/>
                <w:sz w:val="21"/>
                <w:szCs w:val="21"/>
                <w:highlight w:val="none"/>
              </w:rPr>
              <w:t>固定总价合同。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合同分包</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本项目不允许供应商以合同分包形式进行投标。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联合体投标</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投标有效期</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备选投标方案和报价</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质量要求、履约验收</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现场考察、标前</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答疑会</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投标保证金</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低于成本价不正当竞争预防措施</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rPr>
            </w:pPr>
            <w:r>
              <w:rPr>
                <w:rFonts w:hint="eastAsia" w:cs="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s="宋体"/>
                <w:b/>
                <w:bCs/>
                <w:color w:val="auto"/>
                <w:sz w:val="21"/>
                <w:szCs w:val="21"/>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小微企业、监狱企业、残疾人福利性单位价格扣除</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一、政府采购促进中小企业发展政策</w:t>
            </w:r>
          </w:p>
          <w:p>
            <w:pPr>
              <w:pStyle w:val="49"/>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b/>
                <w:bCs/>
                <w:color w:val="auto"/>
                <w:sz w:val="21"/>
                <w:szCs w:val="21"/>
                <w:highlight w:val="none"/>
              </w:rPr>
              <w:t>定义：</w:t>
            </w:r>
            <w:r>
              <w:rPr>
                <w:rFonts w:hint="eastAsia"/>
                <w:color w:val="auto"/>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9"/>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b/>
                <w:bCs/>
                <w:color w:val="auto"/>
                <w:sz w:val="21"/>
                <w:szCs w:val="21"/>
                <w:highlight w:val="none"/>
              </w:rPr>
              <w:t>适用情形：</w:t>
            </w:r>
            <w:r>
              <w:rPr>
                <w:rFonts w:hint="eastAsia"/>
                <w:color w:val="auto"/>
                <w:sz w:val="21"/>
                <w:szCs w:val="21"/>
                <w:highlight w:val="none"/>
              </w:rPr>
              <w:t>(1)在货物采购项目中，货物由中小企业制造，即货物由中小企业生产且使用该中小企业商号或者注册商标；</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(2)在货物采购项目中，供应商提供的货物既有中小企业制造货物，也有大型企业制造货物的，不享受本办法规定的中小企业扶持政策。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注：关于中小微型企业划分标准详见附件。</w:t>
            </w:r>
          </w:p>
          <w:p>
            <w:pPr>
              <w:pStyle w:val="49"/>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执行方式：</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pacing w:val="-8"/>
                <w:sz w:val="21"/>
                <w:szCs w:val="21"/>
                <w:highlight w:val="none"/>
              </w:rPr>
            </w:pPr>
            <w:r>
              <w:rPr>
                <w:rFonts w:hint="eastAsia"/>
                <w:color w:val="auto"/>
                <w:sz w:val="21"/>
                <w:szCs w:val="21"/>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color w:val="auto"/>
                <w:spacing w:val="8"/>
                <w:sz w:val="21"/>
                <w:szCs w:val="21"/>
                <w:highlight w:val="none"/>
              </w:rPr>
              <w:t>经主管预算单位统筹后未预留份额专门</w:t>
            </w:r>
            <w:r>
              <w:rPr>
                <w:color w:val="auto"/>
                <w:sz w:val="21"/>
                <w:szCs w:val="21"/>
                <w:highlight w:val="none"/>
              </w:rPr>
              <w:t>面向中小企业采购的采购项目，以及</w:t>
            </w:r>
            <w:r>
              <w:rPr>
                <w:color w:val="auto"/>
                <w:spacing w:val="-8"/>
                <w:sz w:val="21"/>
                <w:szCs w:val="21"/>
                <w:highlight w:val="none"/>
              </w:rPr>
              <w:t>预留份额项目中的非预留部分采购包</w:t>
            </w:r>
            <w:r>
              <w:rPr>
                <w:rFonts w:hint="eastAsia"/>
                <w:color w:val="auto"/>
                <w:spacing w:val="-8"/>
                <w:sz w:val="21"/>
                <w:szCs w:val="21"/>
                <w:highlight w:val="none"/>
              </w:rPr>
              <w:t>)。</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pacing w:val="-8"/>
                <w:sz w:val="21"/>
                <w:szCs w:val="21"/>
                <w:highlight w:val="none"/>
              </w:rPr>
            </w:pPr>
            <w:r>
              <w:rPr>
                <w:rFonts w:hint="eastAsia"/>
                <w:color w:val="auto"/>
                <w:spacing w:val="-8"/>
                <w:sz w:val="21"/>
                <w:szCs w:val="21"/>
                <w:highlight w:val="none"/>
              </w:rPr>
              <w:t>(2)中小企业参加政府采购活动，应当出具《中小企业声明函》(格式详见招标文件)，否则不得享受相关中小企业扶持政策。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pacing w:val="-8"/>
                <w:sz w:val="21"/>
                <w:szCs w:val="21"/>
                <w:highlight w:val="none"/>
              </w:rPr>
            </w:pPr>
            <w:r>
              <w:rPr>
                <w:rFonts w:hint="eastAsia"/>
                <w:color w:val="auto"/>
                <w:spacing w:val="-8"/>
                <w:sz w:val="21"/>
                <w:szCs w:val="21"/>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二、监狱企业价格扣除</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2.本项目对监狱企业参与投标的价格给予10%的扣除，用扣除后的价格参与评审。</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3.监狱企业参加政府采购活动时，应当提供由省级以上监狱管理局、戒毒管理局(含新疆生产建设兵团)出具的属于监狱企业的证明文件。</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4.监狱企业属于小型、微型企业的，不重复享受政策。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三、残疾人福利性单位价格扣除</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2.本项目对残疾人福利性单位参与投标的价格给予10%的扣除，用扣除后的价格参与评审。</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3.残疾人福利性单位参加政府采购活动时，应当提供本通知规定的《残疾人福利性单位声明函》。</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4.供应商提供的《残疾人福利性单位声明函》与事实不符的，依照《政府采购法》第七十七条第一款的规定追究法律责任。</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5.残疾人福利性单位属于小型、微型企业的，不重复享受政策。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b/>
                <w:bCs/>
                <w:color w:val="auto"/>
                <w:sz w:val="21"/>
                <w:szCs w:val="21"/>
                <w:highlight w:val="none"/>
              </w:rPr>
              <w:t>注：专门面向中小企业采购的项目或者采购包，不再执行价格评审优惠的扶持政策。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品牌或者供应商</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(如涉及)</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节能产品、环境标志产品、无线局域网产品采购政策</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1.节能、环保产品政府采购政策：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本项目采购的产品属于品目清单强制采购范围(节能产品政府采购品目清单中带“★”号产品)的，供应商应按上述要求提供产品认证证书复印件并加盖供应商单位公章，否则投标无效(实质性要求)。</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本项目采购的产品属于品目清单优先采购范围的，按照第七章《综合评分明细表》的规则进行加分。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注：对政府采购节能产品、环境标志产品实施品目清单管理。财政部、发展改革委、生态环境部等部门确定实施政府优先采购和强制采购的产品类别，以品目清单的形式发布并适时调整。</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2.无线局域网产品政府采购政策：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其他强制性规定</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(如涉及时作为实质性要求)</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国家或行业主管部门对采购产品的技术标准、质量标准和资格资质条件等有强制性规定的，必须符合其要求。如涉及3C认证产品的3C认证证书或其他强制规定的要求在投标文件中可不提供(招标文件有要求在投标时提供证明材料的除外)，供应商中标后应在签订采购合同时向采购人提供加盖投标人公章的3C证书等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评</w:t>
            </w:r>
            <w:r>
              <w:rPr>
                <w:rFonts w:hint="eastAsia"/>
                <w:color w:val="auto"/>
                <w:sz w:val="21"/>
                <w:szCs w:val="21"/>
                <w:highlight w:val="none"/>
              </w:rPr>
              <w:t>审</w:t>
            </w:r>
            <w:r>
              <w:rPr>
                <w:rFonts w:hint="eastAsia"/>
                <w:color w:val="auto"/>
                <w:sz w:val="21"/>
                <w:szCs w:val="21"/>
                <w:highlight w:val="none"/>
                <w:lang w:val="zh-CN"/>
              </w:rPr>
              <w:t>情况的公告</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w:t>
            </w:r>
            <w:r>
              <w:rPr>
                <w:rFonts w:hint="eastAsia"/>
                <w:color w:val="auto"/>
                <w:sz w:val="21"/>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中标通知书领取</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采购代理机构在中标人确定后2个工作日内，在“四川政府采购网”发布中标公告，</w:t>
            </w:r>
            <w:r>
              <w:rPr>
                <w:rFonts w:hint="eastAsia"/>
                <w:color w:val="auto"/>
                <w:sz w:val="21"/>
                <w:szCs w:val="21"/>
                <w:highlight w:val="none"/>
              </w:rPr>
              <w:t>同时采购代理机构将中标通知书快递至中标人。</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联系人：</w:t>
            </w:r>
            <w:r>
              <w:rPr>
                <w:rFonts w:hint="eastAsia"/>
                <w:color w:val="auto"/>
                <w:sz w:val="21"/>
                <w:szCs w:val="21"/>
                <w:highlight w:val="none"/>
              </w:rPr>
              <w:t>张婵媛</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联系电话：028-61375575、62600820、62630990转601或602</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地址：</w:t>
            </w:r>
            <w:r>
              <w:rPr>
                <w:rFonts w:hint="eastAsia"/>
                <w:color w:val="auto"/>
                <w:sz w:val="21"/>
                <w:szCs w:val="21"/>
                <w:highlight w:val="none"/>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招标</w:t>
            </w:r>
            <w:r>
              <w:rPr>
                <w:rFonts w:hint="eastAsia"/>
                <w:color w:val="auto"/>
                <w:sz w:val="21"/>
                <w:szCs w:val="21"/>
                <w:highlight w:val="none"/>
                <w:lang w:val="zh-CN"/>
              </w:rPr>
              <w:t>代理</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服务费</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rPr>
            </w:pPr>
            <w:r>
              <w:rPr>
                <w:rFonts w:hint="eastAsia" w:cs="宋体"/>
                <w:color w:val="auto"/>
                <w:sz w:val="21"/>
                <w:szCs w:val="21"/>
                <w:highlight w:val="none"/>
              </w:rPr>
              <w:t>1.招标代理服务费以成本加合理利润为原则，以实际中标金额为计费基数，按照下列收费标准计算出收费基准价格后下浮20%收取。</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rPr>
              <w:t>2</w:t>
            </w:r>
            <w:r>
              <w:rPr>
                <w:rFonts w:hint="eastAsia" w:cs="宋体"/>
                <w:color w:val="auto"/>
                <w:sz w:val="21"/>
                <w:szCs w:val="21"/>
                <w:highlight w:val="none"/>
                <w:lang w:val="zh-CN"/>
              </w:rPr>
              <w:t>.代理服务费率标准和代理服务费计算方法</w:t>
            </w:r>
          </w:p>
          <w:tbl>
            <w:tblPr>
              <w:tblStyle w:val="23"/>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金额(万元)</w:t>
                  </w:r>
                  <w:r>
                    <w:rPr>
                      <w:rFonts w:hint="eastAsia" w:cs="宋体"/>
                      <w:color w:val="auto"/>
                      <w:sz w:val="21"/>
                      <w:szCs w:val="21"/>
                      <w:highlight w:val="none"/>
                    </w:rPr>
                    <w:t>/</w:t>
                  </w:r>
                  <w:r>
                    <w:rPr>
                      <w:rFonts w:hint="eastAsia" w:cs="宋体"/>
                      <w:color w:val="auto"/>
                      <w:sz w:val="21"/>
                      <w:szCs w:val="21"/>
                      <w:highlight w:val="none"/>
                      <w:lang w:val="zh-CN"/>
                    </w:rPr>
                    <w:t>类型</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货物类</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服务类</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100以下</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100－500</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1.1%</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0.8%</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500－1000</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0.8%</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0.45%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1000－5000</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0.25%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5000－10000</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0.25%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0.1%</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10000－100000</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0.05%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0.05%</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1000000以上</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0.01%</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0.01%</w:t>
                  </w:r>
                </w:p>
              </w:tc>
              <w:tc>
                <w:tcPr>
                  <w:tcW w:w="118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center"/>
                    <w:textAlignment w:val="auto"/>
                    <w:rPr>
                      <w:rFonts w:cs="宋体"/>
                      <w:color w:val="auto"/>
                      <w:sz w:val="21"/>
                      <w:szCs w:val="21"/>
                      <w:highlight w:val="none"/>
                      <w:lang w:val="zh-CN"/>
                    </w:rPr>
                  </w:pPr>
                  <w:r>
                    <w:rPr>
                      <w:rFonts w:hint="eastAsia" w:cs="宋体"/>
                      <w:color w:val="auto"/>
                      <w:sz w:val="21"/>
                      <w:szCs w:val="21"/>
                      <w:highlight w:val="none"/>
                      <w:lang w:val="zh-CN"/>
                    </w:rPr>
                    <w:t>0.01%</w:t>
                  </w:r>
                </w:p>
              </w:tc>
            </w:tr>
          </w:tbl>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注：</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(1)按本表费率计算的收费为代理服务全过程的收费基准价格。</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(2)采购代理机构下浮比例为20%。</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(3)代理服务收费按差额定率累进法计算。</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例如：某工程代理业务中标金额为6000万元，计算代理服务收费额如下：</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100万元×1.00%=1万元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(500－100)万元×0.70%=2.8万元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(1000－500)万元×0.55%=2.75万元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(5000－1000)万元×0.35%=14万元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(6000－5000)万元×0.20%=2万元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最终代理服务=(1+2.8+2.75+14+2)*(1</w:t>
            </w:r>
            <w:r>
              <w:rPr>
                <w:rFonts w:hint="eastAsia" w:cs="宋体"/>
                <w:color w:val="auto"/>
                <w:sz w:val="21"/>
                <w:szCs w:val="21"/>
                <w:highlight w:val="none"/>
              </w:rPr>
              <w:t>-</w:t>
            </w:r>
            <w:r>
              <w:rPr>
                <w:rFonts w:hint="eastAsia" w:cs="宋体"/>
                <w:color w:val="auto"/>
                <w:sz w:val="21"/>
                <w:szCs w:val="21"/>
                <w:highlight w:val="none"/>
                <w:lang w:val="zh-CN"/>
              </w:rPr>
              <w:t>20%)=18.04(万元)</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s="宋体"/>
                <w:color w:val="auto"/>
                <w:sz w:val="21"/>
                <w:szCs w:val="21"/>
                <w:highlight w:val="none"/>
              </w:rPr>
              <w:t>3</w:t>
            </w:r>
            <w:r>
              <w:rPr>
                <w:rFonts w:hint="eastAsia" w:cs="宋体"/>
                <w:color w:val="auto"/>
                <w:sz w:val="21"/>
                <w:szCs w:val="21"/>
                <w:highlight w:val="none"/>
                <w:lang w:val="zh-CN"/>
              </w:rPr>
              <w:t>.</w:t>
            </w:r>
            <w:r>
              <w:rPr>
                <w:rFonts w:hint="eastAsia" w:cs="宋体"/>
                <w:color w:val="auto"/>
                <w:sz w:val="21"/>
                <w:szCs w:val="21"/>
                <w:highlight w:val="none"/>
              </w:rPr>
              <w:t>收取方式：中标</w:t>
            </w:r>
            <w:r>
              <w:rPr>
                <w:rFonts w:hint="eastAsia" w:cs="宋体"/>
                <w:color w:val="auto"/>
                <w:sz w:val="21"/>
                <w:szCs w:val="21"/>
                <w:highlight w:val="none"/>
                <w:lang w:val="zh-CN"/>
              </w:rPr>
              <w:t>通知发出后二个工作日内由</w:t>
            </w:r>
            <w:r>
              <w:rPr>
                <w:rFonts w:hint="eastAsia" w:cs="宋体"/>
                <w:color w:val="auto"/>
                <w:sz w:val="21"/>
                <w:szCs w:val="21"/>
                <w:highlight w:val="none"/>
              </w:rPr>
              <w:t>中标供应商</w:t>
            </w:r>
            <w:r>
              <w:rPr>
                <w:rFonts w:hint="eastAsia" w:cs="宋体"/>
                <w:color w:val="auto"/>
                <w:sz w:val="21"/>
                <w:szCs w:val="21"/>
                <w:highlight w:val="none"/>
                <w:lang w:val="zh-CN"/>
              </w:rPr>
              <w:t>一次性支付</w:t>
            </w:r>
            <w:r>
              <w:rPr>
                <w:rFonts w:hint="eastAsia" w:cs="宋体"/>
                <w:color w:val="auto"/>
                <w:sz w:val="21"/>
                <w:szCs w:val="21"/>
                <w:highlight w:val="none"/>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履约保证金</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政府采购供应商信用融资</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3.“政采贷”政策咨询电话：</w:t>
            </w:r>
            <w:r>
              <w:rPr>
                <w:rFonts w:hint="eastAsia"/>
                <w:color w:val="auto"/>
                <w:sz w:val="21"/>
                <w:szCs w:val="21"/>
                <w:highlight w:val="none"/>
                <w:lang w:val="zh-CN"/>
              </w:rPr>
              <w:t>028-61375575转6</w:t>
            </w:r>
            <w:r>
              <w:rPr>
                <w:rFonts w:hint="eastAsia"/>
                <w:color w:val="auto"/>
                <w:sz w:val="21"/>
                <w:szCs w:val="21"/>
                <w:highlight w:val="none"/>
              </w:rPr>
              <w:t>08。</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政府采购合同公告</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备案</w:t>
            </w:r>
          </w:p>
        </w:tc>
        <w:tc>
          <w:tcPr>
            <w:tcW w:w="7171" w:type="dxa"/>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政府采购合同签订之日起2个工作日内，政府采购合同将在“四川政府采购网”公告(包含联合体协议和分包意向协议，分包意向协议公开仅限于享受了政府采购相关扶持政策的情形)；政府采购合同签订之日起七个工作日内，政府采购合同将向本采购项目同级财政部门</w:t>
            </w:r>
            <w:r>
              <w:rPr>
                <w:rFonts w:hint="eastAsia"/>
                <w:color w:val="auto"/>
                <w:sz w:val="21"/>
                <w:szCs w:val="21"/>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供应商询问</w:t>
            </w:r>
          </w:p>
        </w:tc>
        <w:tc>
          <w:tcPr>
            <w:tcW w:w="7171" w:type="dxa"/>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1.根据委托代理协议约定，采购人负责对采购文件技术参数部分的询问答复，四川乾新招投标代理有限公司负责采购文件技术参数部分以外的询问答复。</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2.询问内容不得涉及评审秘密、国家机密和商业秘密等保密内容。</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联系人：</w:t>
            </w:r>
            <w:r>
              <w:rPr>
                <w:rFonts w:hint="eastAsia"/>
                <w:color w:val="auto"/>
                <w:sz w:val="21"/>
                <w:szCs w:val="21"/>
                <w:highlight w:val="none"/>
              </w:rPr>
              <w:t>王朝钢</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联系电话：</w:t>
            </w:r>
            <w:r>
              <w:rPr>
                <w:rFonts w:hint="eastAsia"/>
                <w:color w:val="auto"/>
                <w:sz w:val="21"/>
                <w:szCs w:val="21"/>
                <w:highlight w:val="none"/>
              </w:rPr>
              <w:t>028-61375575、62600820、62630990转636</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lang w:val="zh-CN"/>
              </w:rPr>
              <w:t>地址：成都市高新区吉庆三路333号蜀都中心二期一号楼一单元401号</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邮编：610041</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w:t>
            </w:r>
            <w:r>
              <w:rPr>
                <w:color w:val="auto"/>
                <w:sz w:val="21"/>
                <w:szCs w:val="21"/>
                <w:highlight w:val="none"/>
              </w:rPr>
              <w:t>②</w:t>
            </w:r>
            <w:r>
              <w:rPr>
                <w:rFonts w:hint="eastAsia"/>
                <w:color w:val="auto"/>
                <w:sz w:val="21"/>
                <w:szCs w:val="21"/>
                <w:highlight w:val="none"/>
              </w:rPr>
              <w:t>采购过程、采购结果环节：参与采购活动的供应商可以对采购过程、采购结果相关问题向四川乾新招投标代理有限公司提出询问，未参与采购活动的供应商不得对此环节提出询问。</w:t>
            </w:r>
            <w:r>
              <w:rPr>
                <w:color w:val="auto"/>
                <w:sz w:val="21"/>
                <w:szCs w:val="21"/>
                <w:highlight w:val="none"/>
              </w:rPr>
              <w:t>③</w:t>
            </w:r>
            <w:r>
              <w:rPr>
                <w:rFonts w:hint="eastAsia"/>
                <w:color w:val="auto"/>
                <w:sz w:val="21"/>
                <w:szCs w:val="21"/>
                <w:highlight w:val="none"/>
              </w:rPr>
              <w:t>询问提出的时间原则上以政府采购活动中有效质疑的时间计算为准。</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供应商质疑</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2.供应商提出质疑应当坚持依法依规、诚实信用原则；不得超出采购文件、采购过程、采购结果的范围，不得进行虚假、恶意质疑，不得以质疑为手段获取不当得利、实现非法目的。</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3.提出质疑函的时限要求：供应商认为采购文件、采购过程、中标使其权益受到损害的，可以在知道或者应知其权益受到损害之日起7个工作日内，以书面形式向采购人、采购代理机构提出质疑。</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联系人：滕德伟</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联系电话：028-61375575、62600820、62630990转656</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通讯地址：</w:t>
            </w:r>
            <w:r>
              <w:rPr>
                <w:rFonts w:hint="eastAsia"/>
                <w:color w:val="auto"/>
                <w:sz w:val="21"/>
                <w:szCs w:val="21"/>
                <w:highlight w:val="none"/>
                <w:lang w:val="zh-CN"/>
              </w:rPr>
              <w:t>成都市高新区吉庆三路333号蜀都中心二期一号楼一单元401号</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邮编：610041</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明确的请求是指：供应商对采购文件还是对采购过程还是对中标结果提出质疑；想要达到的结果，如中标无效、废标、重新组织采购、赔偿、追究法律责任等；</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lang w:val="zh-CN"/>
              </w:rPr>
            </w:pPr>
            <w:r>
              <w:rPr>
                <w:rFonts w:hint="eastAsia"/>
                <w:color w:val="auto"/>
                <w:sz w:val="21"/>
                <w:szCs w:val="21"/>
                <w:highlight w:val="none"/>
              </w:rPr>
              <w:t>供应商投诉</w:t>
            </w:r>
          </w:p>
        </w:tc>
        <w:tc>
          <w:tcPr>
            <w:tcW w:w="7171" w:type="dxa"/>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rPr>
            </w:pPr>
            <w:r>
              <w:rPr>
                <w:rFonts w:hint="eastAsia" w:cs="宋体"/>
                <w:color w:val="auto"/>
                <w:sz w:val="21"/>
                <w:szCs w:val="21"/>
                <w:highlight w:val="none"/>
              </w:rPr>
              <w:t>投诉受理单位：成都市财政局</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lang w:val="zh-CN"/>
              </w:rPr>
            </w:pPr>
            <w:r>
              <w:rPr>
                <w:rFonts w:hint="eastAsia" w:cs="宋体"/>
                <w:color w:val="auto"/>
                <w:sz w:val="21"/>
                <w:szCs w:val="21"/>
                <w:highlight w:val="none"/>
                <w:lang w:val="zh-CN"/>
              </w:rPr>
              <w:t>联系电话：028-61882648</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rPr>
            </w:pPr>
            <w:r>
              <w:rPr>
                <w:rFonts w:hint="eastAsia" w:cs="宋体"/>
                <w:color w:val="auto"/>
                <w:sz w:val="21"/>
                <w:szCs w:val="21"/>
                <w:highlight w:val="none"/>
              </w:rPr>
              <w:t xml:space="preserve">地址：成都市锦城大道366号 </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color w:val="auto"/>
                <w:sz w:val="21"/>
                <w:szCs w:val="21"/>
                <w:highlight w:val="none"/>
              </w:rPr>
            </w:pPr>
            <w:r>
              <w:rPr>
                <w:rFonts w:hint="eastAsia" w:cs="宋体"/>
                <w:color w:val="auto"/>
                <w:sz w:val="21"/>
                <w:szCs w:val="21"/>
                <w:highlight w:val="none"/>
              </w:rPr>
              <w:t>邮编：610041</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服务质量投诉电话</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联系人：万方仪</w:t>
            </w:r>
          </w:p>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联系电话：028-61375575、62600820、62630990转613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lang w:val="zh-CN"/>
              </w:rPr>
              <w:t>声明承诺提醒</w:t>
            </w:r>
          </w:p>
        </w:tc>
        <w:tc>
          <w:tcPr>
            <w:tcW w:w="7171"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left"/>
              <w:textAlignment w:val="auto"/>
              <w:rPr>
                <w:color w:val="auto"/>
                <w:sz w:val="21"/>
                <w:szCs w:val="21"/>
                <w:highlight w:val="none"/>
              </w:rPr>
            </w:pPr>
            <w:r>
              <w:rPr>
                <w:rFonts w:hint="eastAsia"/>
                <w:color w:val="auto"/>
                <w:sz w:val="21"/>
                <w:szCs w:val="21"/>
                <w:highlight w:val="none"/>
              </w:rPr>
              <w:t>投标人的投标</w:t>
            </w:r>
            <w:r>
              <w:rPr>
                <w:rFonts w:hint="eastAsia"/>
                <w:color w:val="auto"/>
                <w:sz w:val="21"/>
                <w:szCs w:val="21"/>
                <w:highlight w:val="none"/>
                <w:lang w:val="zh-CN"/>
              </w:rPr>
              <w:t>文件中提供的各种声明和承诺应当真实有效，无效声明和承诺、虚假声明和承诺将由</w:t>
            </w:r>
            <w:r>
              <w:rPr>
                <w:rFonts w:hint="eastAsia"/>
                <w:color w:val="auto"/>
                <w:sz w:val="21"/>
                <w:szCs w:val="21"/>
                <w:highlight w:val="none"/>
              </w:rPr>
              <w:t>投标人自行</w:t>
            </w:r>
            <w:r>
              <w:rPr>
                <w:rFonts w:hint="eastAsia"/>
                <w:color w:val="auto"/>
                <w:sz w:val="21"/>
                <w:szCs w:val="21"/>
                <w:highlight w:val="none"/>
                <w:lang w:val="zh-CN"/>
              </w:rPr>
              <w:t>承担由此带来的</w:t>
            </w:r>
            <w:r>
              <w:rPr>
                <w:rFonts w:hint="eastAsia"/>
                <w:color w:val="auto"/>
                <w:sz w:val="21"/>
                <w:szCs w:val="21"/>
                <w:highlight w:val="none"/>
              </w:rPr>
              <w:t>一切</w:t>
            </w:r>
            <w:r>
              <w:rPr>
                <w:rFonts w:hint="eastAsia"/>
                <w:color w:val="auto"/>
                <w:sz w:val="21"/>
                <w:szCs w:val="21"/>
                <w:highlight w:val="none"/>
                <w:lang w:val="zh-CN"/>
              </w:rPr>
              <w:t>不利后果，</w:t>
            </w:r>
            <w:r>
              <w:rPr>
                <w:rFonts w:hint="eastAsia"/>
                <w:color w:val="auto"/>
                <w:sz w:val="21"/>
                <w:szCs w:val="21"/>
                <w:highlight w:val="none"/>
              </w:rPr>
              <w:t>采购代理机构</w:t>
            </w:r>
            <w:r>
              <w:rPr>
                <w:rFonts w:hint="eastAsia"/>
                <w:color w:val="auto"/>
                <w:sz w:val="21"/>
                <w:szCs w:val="21"/>
                <w:highlight w:val="none"/>
                <w:lang w:val="zh-CN"/>
              </w:rPr>
              <w:t>还将报告监管部门追究</w:t>
            </w:r>
            <w:r>
              <w:rPr>
                <w:rFonts w:hint="eastAsia"/>
                <w:color w:val="auto"/>
                <w:sz w:val="21"/>
                <w:szCs w:val="21"/>
                <w:highlight w:val="none"/>
              </w:rPr>
              <w:t>其</w:t>
            </w:r>
            <w:r>
              <w:rPr>
                <w:rFonts w:hint="eastAsia"/>
                <w:color w:val="auto"/>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rFonts w:cs="宋体"/>
                <w:b/>
                <w:bCs/>
                <w:color w:val="auto"/>
                <w:sz w:val="21"/>
                <w:szCs w:val="21"/>
                <w:highlight w:val="none"/>
                <w:lang w:val="zh-CN"/>
              </w:rPr>
            </w:pPr>
            <w:r>
              <w:rPr>
                <w:rFonts w:hint="eastAsia" w:cs="宋体"/>
                <w:b/>
                <w:bCs/>
                <w:color w:val="auto"/>
                <w:sz w:val="21"/>
                <w:szCs w:val="21"/>
                <w:highlight w:val="none"/>
                <w:lang w:val="zh-CN"/>
              </w:rPr>
              <w:t>温馨提示</w:t>
            </w:r>
          </w:p>
        </w:tc>
        <w:tc>
          <w:tcPr>
            <w:tcW w:w="7171"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left"/>
              <w:textAlignment w:val="auto"/>
              <w:rPr>
                <w:rFonts w:cs="宋体"/>
                <w:b/>
                <w:bCs/>
                <w:color w:val="auto"/>
                <w:sz w:val="21"/>
                <w:szCs w:val="21"/>
                <w:highlight w:val="none"/>
                <w:lang w:val="zh-CN"/>
              </w:rPr>
            </w:pPr>
            <w:r>
              <w:rPr>
                <w:rFonts w:hint="eastAsia" w:cs="宋体"/>
                <w:b/>
                <w:bCs/>
                <w:color w:val="auto"/>
                <w:sz w:val="21"/>
                <w:szCs w:val="21"/>
                <w:highlight w:val="none"/>
              </w:rPr>
              <w:t>1.</w:t>
            </w:r>
            <w:r>
              <w:rPr>
                <w:rFonts w:hint="eastAsia" w:cs="宋体"/>
                <w:b/>
                <w:bCs/>
                <w:color w:val="auto"/>
                <w:sz w:val="21"/>
                <w:szCs w:val="21"/>
                <w:highlight w:val="none"/>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left"/>
              <w:textAlignment w:val="auto"/>
              <w:rPr>
                <w:rFonts w:cs="宋体"/>
                <w:b/>
                <w:bCs/>
                <w:color w:val="auto"/>
                <w:sz w:val="21"/>
                <w:szCs w:val="21"/>
                <w:highlight w:val="none"/>
                <w:lang w:val="zh-CN"/>
              </w:rPr>
            </w:pPr>
            <w:r>
              <w:rPr>
                <w:rFonts w:hint="eastAsia" w:cs="宋体"/>
                <w:b/>
                <w:bCs/>
                <w:color w:val="auto"/>
                <w:sz w:val="21"/>
                <w:szCs w:val="21"/>
                <w:highlight w:val="none"/>
              </w:rPr>
              <w:t>2.“</w:t>
            </w:r>
            <w:r>
              <w:rPr>
                <w:rFonts w:hint="eastAsia" w:cs="宋体"/>
                <w:b/>
                <w:bCs/>
                <w:color w:val="auto"/>
                <w:sz w:val="21"/>
                <w:szCs w:val="21"/>
                <w:highlight w:val="none"/>
                <w:lang w:val="zh-CN"/>
              </w:rPr>
              <w:t>政府采购云平台</w:t>
            </w:r>
            <w:r>
              <w:rPr>
                <w:rFonts w:hint="eastAsia" w:cs="宋体"/>
                <w:b/>
                <w:bCs/>
                <w:color w:val="auto"/>
                <w:sz w:val="21"/>
                <w:szCs w:val="21"/>
                <w:highlight w:val="none"/>
              </w:rPr>
              <w:t>”</w:t>
            </w:r>
            <w:r>
              <w:rPr>
                <w:rFonts w:hint="eastAsia" w:cs="宋体"/>
                <w:b/>
                <w:bCs/>
                <w:color w:val="auto"/>
                <w:sz w:val="21"/>
                <w:szCs w:val="21"/>
                <w:highlight w:val="none"/>
                <w:lang w:val="zh-CN"/>
              </w:rPr>
              <w:t>供应商注册地址：</w:t>
            </w:r>
          </w:p>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jc w:val="left"/>
              <w:textAlignment w:val="auto"/>
              <w:rPr>
                <w:rFonts w:cs="宋体"/>
                <w:b/>
                <w:bCs/>
                <w:color w:val="auto"/>
                <w:sz w:val="21"/>
                <w:szCs w:val="21"/>
                <w:highlight w:val="none"/>
              </w:rPr>
            </w:pPr>
            <w:r>
              <w:rPr>
                <w:rFonts w:hint="eastAsia" w:cs="宋体"/>
                <w:b/>
                <w:bCs/>
                <w:color w:val="auto"/>
                <w:sz w:val="21"/>
                <w:szCs w:val="21"/>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52"/>
              <w:keepNext w:val="0"/>
              <w:keepLines w:val="0"/>
              <w:pageBreakBefore w:val="0"/>
              <w:widowControl w:val="0"/>
              <w:numPr>
                <w:ilvl w:val="0"/>
                <w:numId w:val="9"/>
              </w:numPr>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p>
        </w:tc>
        <w:tc>
          <w:tcPr>
            <w:tcW w:w="2009" w:type="dxa"/>
            <w:vAlign w:val="center"/>
          </w:tcPr>
          <w:p>
            <w:pPr>
              <w:pStyle w:val="52"/>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备注</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20" w:lineRule="exact"/>
              <w:ind w:left="28" w:leftChars="0" w:right="12" w:rightChars="5"/>
              <w:textAlignment w:val="auto"/>
              <w:rPr>
                <w:color w:val="auto"/>
                <w:sz w:val="21"/>
                <w:szCs w:val="21"/>
                <w:highlight w:val="none"/>
              </w:rPr>
            </w:pPr>
            <w:r>
              <w:rPr>
                <w:rFonts w:hint="eastAsia"/>
                <w:color w:val="auto"/>
                <w:sz w:val="21"/>
                <w:szCs w:val="21"/>
                <w:highlight w:val="none"/>
              </w:rPr>
              <w:t>若招标文件中其他内容与投标人须知前附表内容不一致的，以投标人须知前附表为准。</w:t>
            </w:r>
          </w:p>
        </w:tc>
      </w:tr>
    </w:tbl>
    <w:p>
      <w:pPr>
        <w:pStyle w:val="50"/>
        <w:spacing w:before="120" w:after="120"/>
        <w:rPr>
          <w:color w:val="auto"/>
          <w:highlight w:val="none"/>
        </w:rPr>
      </w:pPr>
      <w:r>
        <w:rPr>
          <w:rFonts w:hint="eastAsia"/>
          <w:color w:val="auto"/>
          <w:highlight w:val="none"/>
        </w:rPr>
        <w:br w:type="page"/>
      </w:r>
      <w:bookmarkStart w:id="38" w:name="_Toc1309"/>
      <w:bookmarkStart w:id="39" w:name="_Toc4011"/>
      <w:bookmarkStart w:id="40" w:name="_Toc23295"/>
      <w:bookmarkStart w:id="41" w:name="_Toc26593"/>
      <w:bookmarkStart w:id="42" w:name="_Toc2042"/>
      <w:r>
        <w:rPr>
          <w:rFonts w:hint="eastAsia"/>
          <w:color w:val="auto"/>
          <w:highlight w:val="none"/>
        </w:rPr>
        <w:t>总 则</w:t>
      </w:r>
      <w:bookmarkEnd w:id="37"/>
      <w:bookmarkEnd w:id="38"/>
      <w:bookmarkEnd w:id="39"/>
      <w:bookmarkEnd w:id="40"/>
      <w:bookmarkEnd w:id="41"/>
      <w:bookmarkEnd w:id="42"/>
    </w:p>
    <w:p>
      <w:pPr>
        <w:pStyle w:val="33"/>
        <w:ind w:firstLine="482"/>
        <w:rPr>
          <w:color w:val="auto"/>
          <w:highlight w:val="none"/>
        </w:rPr>
      </w:pPr>
      <w:bookmarkStart w:id="43" w:name="_Toc217446034"/>
      <w:bookmarkStart w:id="44" w:name="_Toc308188129"/>
      <w:bookmarkStart w:id="45" w:name="_Toc308084574"/>
      <w:bookmarkStart w:id="46" w:name="_Toc307564829"/>
      <w:bookmarkStart w:id="47" w:name="_Toc12046"/>
      <w:bookmarkStart w:id="48" w:name="_Toc10311"/>
      <w:bookmarkStart w:id="49" w:name="_Toc5790"/>
      <w:bookmarkStart w:id="50" w:name="_Toc23796"/>
      <w:bookmarkStart w:id="51" w:name="_Toc29532"/>
      <w:bookmarkStart w:id="52" w:name="_Toc307501086"/>
      <w:bookmarkStart w:id="53" w:name="_Toc20769"/>
      <w:bookmarkStart w:id="54" w:name="_Toc327196263"/>
      <w:bookmarkStart w:id="55" w:name="_Toc32648"/>
      <w:bookmarkStart w:id="56" w:name="_Toc32483"/>
      <w:bookmarkStart w:id="57" w:name="_Toc309897492"/>
      <w:bookmarkStart w:id="58" w:name="_Toc31870"/>
      <w:bookmarkStart w:id="59" w:name="_Toc28450"/>
      <w:bookmarkStart w:id="60" w:name="_Toc319439877"/>
      <w:bookmarkStart w:id="61" w:name="_Toc18593"/>
      <w:bookmarkStart w:id="62" w:name="_Toc319440119"/>
      <w:bookmarkStart w:id="63" w:name="_Toc3601"/>
      <w:r>
        <w:rPr>
          <w:rFonts w:hint="eastAsia"/>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3"/>
        <w:numPr>
          <w:ilvl w:val="2"/>
          <w:numId w:val="0"/>
        </w:numPr>
        <w:ind w:firstLine="480" w:firstLineChars="200"/>
        <w:rPr>
          <w:color w:val="auto"/>
          <w:highlight w:val="none"/>
        </w:rPr>
      </w:pPr>
      <w:r>
        <w:rPr>
          <w:rFonts w:hint="eastAsia"/>
          <w:color w:val="auto"/>
          <w:highlight w:val="none"/>
        </w:rPr>
        <w:t>本招标文件仅适用于本次公开招标采购项目。</w:t>
      </w:r>
    </w:p>
    <w:p>
      <w:pPr>
        <w:pStyle w:val="33"/>
        <w:ind w:firstLine="482"/>
        <w:rPr>
          <w:color w:val="auto"/>
          <w:highlight w:val="none"/>
        </w:rPr>
      </w:pPr>
      <w:bookmarkStart w:id="64" w:name="_Toc7942"/>
      <w:bookmarkStart w:id="65" w:name="_Toc24985"/>
      <w:bookmarkStart w:id="66" w:name="_Toc327196264"/>
      <w:bookmarkStart w:id="67" w:name="_Toc7361"/>
      <w:bookmarkStart w:id="68" w:name="_Toc156"/>
      <w:bookmarkStart w:id="69" w:name="_Toc309897493"/>
      <w:bookmarkStart w:id="70" w:name="_Toc19670"/>
      <w:bookmarkStart w:id="71" w:name="_Toc319439878"/>
      <w:bookmarkStart w:id="72" w:name="_Toc13022"/>
      <w:bookmarkStart w:id="73" w:name="_Toc308188130"/>
      <w:bookmarkStart w:id="74" w:name="_Toc319440120"/>
      <w:bookmarkStart w:id="75" w:name="_Toc12194"/>
      <w:bookmarkStart w:id="76" w:name="_Toc307564830"/>
      <w:bookmarkStart w:id="77" w:name="_Toc308084575"/>
      <w:bookmarkStart w:id="78" w:name="_Toc16858"/>
      <w:bookmarkStart w:id="79" w:name="_Toc307501087"/>
      <w:bookmarkStart w:id="80" w:name="_Toc19069"/>
      <w:bookmarkStart w:id="81" w:name="_Toc24751"/>
      <w:bookmarkStart w:id="82" w:name="_Toc217446035"/>
      <w:bookmarkStart w:id="83" w:name="_Toc524"/>
      <w:bookmarkStart w:id="84" w:name="_Toc2775"/>
      <w:r>
        <w:rPr>
          <w:rFonts w:hint="eastAsia"/>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4"/>
        <w:ind w:firstLine="480"/>
        <w:rPr>
          <w:color w:val="auto"/>
          <w:highlight w:val="none"/>
        </w:rPr>
      </w:pPr>
      <w:r>
        <w:rPr>
          <w:rFonts w:hint="eastAsia"/>
          <w:color w:val="auto"/>
          <w:highlight w:val="none"/>
        </w:rPr>
        <w:t>“采购人”系指依法进行政府采购的国家机关、事业单位、团体组织。本次招标的采购人是成都市技师学院。</w:t>
      </w:r>
    </w:p>
    <w:p>
      <w:pPr>
        <w:pStyle w:val="34"/>
        <w:ind w:firstLine="480"/>
        <w:rPr>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34"/>
        <w:ind w:firstLine="480"/>
        <w:rPr>
          <w:color w:val="auto"/>
          <w:highlight w:val="none"/>
        </w:rPr>
      </w:pPr>
      <w:r>
        <w:rPr>
          <w:rFonts w:hint="eastAsia"/>
          <w:color w:val="auto"/>
          <w:highlight w:val="none"/>
        </w:rPr>
        <w:t>“招标采购单位”系指“采购人”和“采购代理机构”的统称。</w:t>
      </w:r>
    </w:p>
    <w:p>
      <w:pPr>
        <w:pStyle w:val="34"/>
        <w:ind w:firstLine="480"/>
        <w:rPr>
          <w:color w:val="auto"/>
          <w:highlight w:val="none"/>
        </w:rPr>
      </w:pPr>
      <w:r>
        <w:rPr>
          <w:rFonts w:hint="eastAsia"/>
          <w:color w:val="auto"/>
          <w:highlight w:val="none"/>
        </w:rPr>
        <w:t>“投标人”系指获取了招标文件拟参加投标和向采购人提供货物及相应服务的供应商。</w:t>
      </w:r>
    </w:p>
    <w:p>
      <w:pPr>
        <w:pStyle w:val="34"/>
        <w:ind w:firstLine="480"/>
        <w:rPr>
          <w:color w:val="auto"/>
          <w:highlight w:val="none"/>
        </w:rPr>
      </w:pPr>
      <w:r>
        <w:rPr>
          <w:rFonts w:hint="eastAsia"/>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4"/>
        <w:ind w:firstLine="480"/>
        <w:rPr>
          <w:color w:val="auto"/>
          <w:highlight w:val="none"/>
        </w:rPr>
      </w:pPr>
      <w:r>
        <w:rPr>
          <w:rFonts w:hint="eastAsia"/>
          <w:color w:val="auto"/>
          <w:highlight w:val="none"/>
        </w:rPr>
        <w:t>本招标文件各部分规定的时间均以北京时间为准。</w:t>
      </w:r>
    </w:p>
    <w:p>
      <w:pPr>
        <w:pStyle w:val="33"/>
        <w:ind w:firstLine="482"/>
        <w:rPr>
          <w:color w:val="auto"/>
          <w:highlight w:val="none"/>
        </w:rPr>
      </w:pPr>
      <w:bookmarkStart w:id="85" w:name="_Toc319439879"/>
      <w:bookmarkStart w:id="86" w:name="_Toc24547"/>
      <w:bookmarkStart w:id="87" w:name="_Toc327196265"/>
      <w:bookmarkStart w:id="88" w:name="_Toc26508"/>
      <w:bookmarkStart w:id="89" w:name="_Toc309897494"/>
      <w:bookmarkStart w:id="90" w:name="_Toc308084576"/>
      <w:bookmarkStart w:id="91" w:name="_Toc217390843"/>
      <w:bookmarkStart w:id="92" w:name="_Toc30244"/>
      <w:bookmarkStart w:id="93" w:name="_Toc23383"/>
      <w:bookmarkStart w:id="94" w:name="_Toc7511"/>
      <w:bookmarkStart w:id="95" w:name="_Toc3060"/>
      <w:bookmarkStart w:id="96" w:name="_Toc183582207"/>
      <w:bookmarkStart w:id="97" w:name="_Toc217446036"/>
      <w:bookmarkStart w:id="98" w:name="_Toc319440121"/>
      <w:bookmarkStart w:id="99" w:name="_Toc307564831"/>
      <w:bookmarkStart w:id="100" w:name="_Toc183682344"/>
      <w:bookmarkStart w:id="101" w:name="_Toc22174"/>
      <w:bookmarkStart w:id="102" w:name="_Toc308188131"/>
      <w:bookmarkStart w:id="103" w:name="_Toc307501088"/>
      <w:bookmarkStart w:id="104" w:name="_Toc29784"/>
      <w:bookmarkStart w:id="105" w:name="_Toc31295"/>
      <w:bookmarkStart w:id="106" w:name="_Toc12424"/>
      <w:bookmarkStart w:id="107" w:name="_Toc4501"/>
      <w:bookmarkStart w:id="108" w:name="_Toc30689"/>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rPr>
        <w:t>(实质性要求)</w:t>
      </w:r>
      <w:bookmarkEnd w:id="105"/>
      <w:bookmarkEnd w:id="106"/>
      <w:bookmarkEnd w:id="107"/>
      <w:bookmarkEnd w:id="108"/>
    </w:p>
    <w:p>
      <w:pPr>
        <w:pStyle w:val="35"/>
        <w:rPr>
          <w:color w:val="auto"/>
          <w:highlight w:val="none"/>
        </w:rPr>
      </w:pPr>
      <w:r>
        <w:rPr>
          <w:rFonts w:hint="eastAsia"/>
          <w:color w:val="auto"/>
          <w:highlight w:val="none"/>
        </w:rPr>
        <w:t>合格的投标人应具备以下条件：</w:t>
      </w:r>
    </w:p>
    <w:p>
      <w:pPr>
        <w:pStyle w:val="34"/>
        <w:ind w:firstLine="480"/>
        <w:rPr>
          <w:color w:val="auto"/>
          <w:highlight w:val="none"/>
        </w:rPr>
      </w:pPr>
      <w:r>
        <w:rPr>
          <w:rFonts w:hint="eastAsia"/>
          <w:color w:val="auto"/>
          <w:highlight w:val="none"/>
        </w:rPr>
        <w:t>本招标文件“投标邀请”第五条规定的条件；</w:t>
      </w:r>
    </w:p>
    <w:p>
      <w:pPr>
        <w:pStyle w:val="34"/>
        <w:ind w:firstLine="480"/>
        <w:rPr>
          <w:color w:val="auto"/>
          <w:highlight w:val="none"/>
        </w:rPr>
      </w:pPr>
      <w:r>
        <w:rPr>
          <w:rFonts w:hint="eastAsia"/>
          <w:color w:val="auto"/>
          <w:highlight w:val="none"/>
        </w:rPr>
        <w:t>遵守国家有关的法律、法规、规章和其他政策制度；</w:t>
      </w:r>
    </w:p>
    <w:p>
      <w:pPr>
        <w:pStyle w:val="34"/>
        <w:ind w:firstLine="480"/>
        <w:rPr>
          <w:color w:val="auto"/>
          <w:highlight w:val="none"/>
        </w:rPr>
      </w:pPr>
      <w:r>
        <w:rPr>
          <w:rFonts w:hint="eastAsia"/>
          <w:color w:val="auto"/>
          <w:highlight w:val="none"/>
        </w:rPr>
        <w:t>向采购代理机构依法获取了招标文件并完成登记。</w:t>
      </w:r>
    </w:p>
    <w:p>
      <w:pPr>
        <w:pStyle w:val="33"/>
        <w:ind w:firstLine="482"/>
        <w:rPr>
          <w:color w:val="auto"/>
          <w:highlight w:val="none"/>
        </w:rPr>
      </w:pPr>
      <w:bookmarkStart w:id="109" w:name="_Toc307564832"/>
      <w:bookmarkStart w:id="110" w:name="_Toc183582208"/>
      <w:bookmarkStart w:id="111" w:name="_Toc307501089"/>
      <w:bookmarkStart w:id="112" w:name="_Toc319439880"/>
      <w:bookmarkStart w:id="113" w:name="_Toc217446037"/>
      <w:bookmarkStart w:id="114" w:name="_Toc14323"/>
      <w:bookmarkStart w:id="115" w:name="_Toc26952"/>
      <w:bookmarkStart w:id="116" w:name="_Toc9761"/>
      <w:bookmarkStart w:id="117" w:name="_Toc319440122"/>
      <w:bookmarkStart w:id="118" w:name="_Toc28895"/>
      <w:bookmarkStart w:id="119" w:name="_Toc183682345"/>
      <w:bookmarkStart w:id="120" w:name="_Toc5067"/>
      <w:bookmarkStart w:id="121" w:name="_Toc12293"/>
      <w:bookmarkStart w:id="122" w:name="_Toc21649"/>
      <w:bookmarkStart w:id="123" w:name="_Toc308188132"/>
      <w:bookmarkStart w:id="124" w:name="_Toc308084577"/>
      <w:bookmarkStart w:id="125" w:name="_Toc309897495"/>
      <w:bookmarkStart w:id="126" w:name="_Toc4414"/>
      <w:bookmarkStart w:id="127" w:name="_Toc327196266"/>
      <w:bookmarkStart w:id="128" w:name="_Toc20132"/>
      <w:bookmarkStart w:id="129" w:name="_Toc7047"/>
      <w:bookmarkStart w:id="130" w:name="_Toc31729"/>
      <w:bookmarkStart w:id="131" w:name="_Toc16427"/>
      <w:r>
        <w:rPr>
          <w:rFonts w:hint="eastAsia"/>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olor w:val="auto"/>
          <w:highlight w:val="none"/>
        </w:rPr>
        <w:t>(实质性要求)</w:t>
      </w:r>
      <w:bookmarkEnd w:id="128"/>
      <w:bookmarkEnd w:id="129"/>
      <w:bookmarkEnd w:id="130"/>
      <w:bookmarkEnd w:id="131"/>
    </w:p>
    <w:p>
      <w:pPr>
        <w:pStyle w:val="35"/>
        <w:rPr>
          <w:color w:val="auto"/>
          <w:highlight w:val="none"/>
        </w:rPr>
      </w:pPr>
      <w:r>
        <w:rPr>
          <w:rFonts w:hint="eastAsia"/>
          <w:color w:val="auto"/>
          <w:highlight w:val="none"/>
        </w:rPr>
        <w:t>投标人参加投标的有关费用由投标人自行承担。</w:t>
      </w:r>
    </w:p>
    <w:p>
      <w:pPr>
        <w:pStyle w:val="33"/>
        <w:ind w:firstLine="482"/>
        <w:rPr>
          <w:color w:val="auto"/>
          <w:highlight w:val="none"/>
        </w:rPr>
      </w:pPr>
      <w:bookmarkStart w:id="132" w:name="_Toc308084578"/>
      <w:bookmarkStart w:id="133" w:name="_Toc327196267"/>
      <w:bookmarkStart w:id="134" w:name="_Toc309897496"/>
      <w:bookmarkStart w:id="135" w:name="_Toc28490"/>
      <w:bookmarkStart w:id="136" w:name="_Toc11996"/>
      <w:bookmarkStart w:id="137" w:name="_Toc319439881"/>
      <w:bookmarkStart w:id="138" w:name="_Toc307501090"/>
      <w:bookmarkStart w:id="139" w:name="_Toc308188133"/>
      <w:bookmarkStart w:id="140" w:name="_Toc27604"/>
      <w:bookmarkStart w:id="141" w:name="_Toc307564833"/>
      <w:bookmarkStart w:id="142" w:name="_Toc18984"/>
      <w:bookmarkStart w:id="143" w:name="_Toc7710"/>
      <w:bookmarkStart w:id="144" w:name="_Toc27927"/>
      <w:bookmarkStart w:id="145" w:name="_Toc319440123"/>
      <w:bookmarkStart w:id="146" w:name="_Toc11131"/>
      <w:bookmarkStart w:id="147" w:name="_Toc18993"/>
      <w:bookmarkStart w:id="148" w:name="_Toc32269"/>
      <w:bookmarkStart w:id="149" w:name="_Toc433"/>
      <w:bookmarkStart w:id="150" w:name="_Toc11923"/>
      <w:bookmarkStart w:id="151" w:name="_Toc5564"/>
      <w:r>
        <w:rPr>
          <w:rFonts w:hint="eastAsia"/>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olor w:val="auto"/>
          <w:highlight w:val="none"/>
        </w:rPr>
        <w:t>(实质性要求)</w:t>
      </w:r>
      <w:bookmarkEnd w:id="148"/>
      <w:bookmarkEnd w:id="149"/>
      <w:bookmarkEnd w:id="150"/>
      <w:bookmarkEnd w:id="151"/>
    </w:p>
    <w:p>
      <w:pPr>
        <w:pStyle w:val="34"/>
        <w:ind w:firstLine="480"/>
        <w:rPr>
          <w:color w:val="auto"/>
          <w:highlight w:val="none"/>
        </w:rPr>
      </w:pPr>
      <w:bookmarkStart w:id="152" w:name="_Toc13891"/>
      <w:bookmarkStart w:id="153" w:name="_Toc89075875"/>
      <w:bookmarkStart w:id="154" w:name="_Toc183682346"/>
      <w:bookmarkStart w:id="155" w:name="_Toc183582209"/>
      <w:bookmarkStart w:id="156" w:name="_Toc77400779"/>
      <w:bookmarkStart w:id="157" w:name="_Toc327196268"/>
      <w:bookmarkStart w:id="158" w:name="_Toc217446038"/>
      <w:r>
        <w:rPr>
          <w:rFonts w:hint="eastAsia"/>
          <w:color w:val="auto"/>
          <w:highlight w:val="none"/>
        </w:rPr>
        <w:t>提供相同品牌产品处理。</w:t>
      </w:r>
    </w:p>
    <w:p>
      <w:pPr>
        <w:pStyle w:val="35"/>
        <w:rPr>
          <w:color w:val="auto"/>
          <w:highlight w:val="none"/>
        </w:rPr>
      </w:pPr>
      <w:r>
        <w:rPr>
          <w:rFonts w:hint="eastAsia"/>
          <w:color w:val="auto"/>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35"/>
        <w:rPr>
          <w:color w:val="auto"/>
          <w:highlight w:val="none"/>
        </w:rPr>
      </w:pPr>
      <w:r>
        <w:rPr>
          <w:rFonts w:hint="eastAsia"/>
          <w:color w:val="auto"/>
          <w:highlight w:val="none"/>
        </w:rPr>
        <w:t>本采购项目核心产品为：</w:t>
      </w:r>
      <w:r>
        <w:rPr>
          <w:rFonts w:hint="eastAsia"/>
          <w:b/>
          <w:bCs/>
          <w:color w:val="auto"/>
          <w:highlight w:val="none"/>
        </w:rPr>
        <w:t>整车故障设置与检测连接平台</w:t>
      </w:r>
      <w:r>
        <w:rPr>
          <w:rFonts w:hint="eastAsia"/>
          <w:color w:val="auto"/>
          <w:highlight w:val="none"/>
        </w:rPr>
        <w:t>，若为相同品牌产品按前款规定执行。</w:t>
      </w:r>
    </w:p>
    <w:p>
      <w:pPr>
        <w:pStyle w:val="34"/>
        <w:ind w:firstLine="480"/>
        <w:rPr>
          <w:color w:val="auto"/>
          <w:highlight w:val="none"/>
        </w:rPr>
      </w:pPr>
      <w:r>
        <w:rPr>
          <w:rFonts w:hint="eastAsia"/>
          <w:color w:val="auto"/>
          <w:highlight w:val="none"/>
        </w:rPr>
        <w:t>利害关系供应商处理。</w:t>
      </w:r>
    </w:p>
    <w:p>
      <w:pPr>
        <w:pStyle w:val="35"/>
        <w:rPr>
          <w:color w:val="auto"/>
          <w:highlight w:val="none"/>
        </w:rPr>
      </w:pPr>
      <w:r>
        <w:rPr>
          <w:rFonts w:hint="eastAsia"/>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5"/>
        <w:rPr>
          <w:color w:val="auto"/>
          <w:highlight w:val="none"/>
        </w:rPr>
      </w:pPr>
      <w:r>
        <w:rPr>
          <w:rFonts w:hint="eastAsia"/>
          <w:color w:val="auto"/>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4"/>
        <w:ind w:firstLine="480"/>
        <w:rPr>
          <w:color w:val="auto"/>
          <w:highlight w:val="none"/>
        </w:rPr>
      </w:pPr>
      <w:r>
        <w:rPr>
          <w:rFonts w:hint="eastAsia"/>
          <w:color w:val="auto"/>
          <w:highlight w:val="none"/>
        </w:rPr>
        <w:t>前期参与供应商处理。</w:t>
      </w:r>
    </w:p>
    <w:p>
      <w:pPr>
        <w:pStyle w:val="35"/>
        <w:rPr>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5"/>
        <w:ind w:firstLine="482"/>
        <w:rPr>
          <w:b/>
          <w:bCs/>
          <w:color w:val="auto"/>
          <w:highlight w:val="none"/>
        </w:rPr>
      </w:pPr>
      <w:r>
        <w:rPr>
          <w:rFonts w:hint="eastAsia" w:cs="宋体"/>
          <w:b/>
          <w:bCs/>
          <w:color w:val="auto"/>
          <w:highlight w:val="none"/>
        </w:rPr>
        <w:t>注：本项目符合本条规定的供应商是：四川蓉欣汽车服务有限公司，参加本项目投标的按无效投标处理。</w:t>
      </w:r>
    </w:p>
    <w:p>
      <w:pPr>
        <w:pStyle w:val="34"/>
        <w:ind w:firstLine="480"/>
        <w:rPr>
          <w:color w:val="auto"/>
          <w:highlight w:val="none"/>
        </w:rPr>
      </w:pPr>
      <w:r>
        <w:rPr>
          <w:rFonts w:hint="eastAsia"/>
          <w:color w:val="auto"/>
          <w:highlight w:val="none"/>
        </w:rPr>
        <w:t>利害关系代理人处理。</w:t>
      </w:r>
    </w:p>
    <w:p>
      <w:pPr>
        <w:pStyle w:val="36"/>
        <w:ind w:firstLine="480"/>
        <w:rPr>
          <w:color w:val="auto"/>
          <w:highlight w:val="none"/>
        </w:rPr>
      </w:pPr>
      <w:r>
        <w:rPr>
          <w:rFonts w:hint="eastAsia"/>
          <w:color w:val="auto"/>
          <w:highlight w:val="none"/>
        </w:rPr>
        <w:t>在同一合同项下的采购项目中，若有2家及以上的供应商同时委托同一个自然人、同一家庭的人员、同一单位的人员作为其代理人，其投标文件作为无效处理。</w:t>
      </w:r>
    </w:p>
    <w:p>
      <w:pPr>
        <w:pStyle w:val="36"/>
        <w:ind w:firstLine="480"/>
        <w:rPr>
          <w:color w:val="auto"/>
          <w:highlight w:val="none"/>
        </w:rPr>
      </w:pPr>
      <w:r>
        <w:rPr>
          <w:rFonts w:hint="eastAsia"/>
          <w:color w:val="auto"/>
          <w:highlight w:val="none"/>
        </w:rPr>
        <w:t>供应商实际控制人或者中高级管理人员，同时是采购代理机构工作人员，不得参与本项目政府采购活动。</w:t>
      </w:r>
    </w:p>
    <w:p>
      <w:pPr>
        <w:pStyle w:val="36"/>
        <w:ind w:firstLine="480"/>
        <w:rPr>
          <w:color w:val="auto"/>
          <w:highlight w:val="none"/>
        </w:rPr>
      </w:pPr>
      <w:r>
        <w:rPr>
          <w:rFonts w:hint="eastAsia"/>
          <w:color w:val="auto"/>
          <w:highlight w:val="none"/>
        </w:rPr>
        <w:t>同一母公司的两家以上的子公司只能组成联合体参加本项目同一合同项下的采购活动，不得以不同供应商身份同时参加本项目同一合同项下的采购活动。</w:t>
      </w:r>
    </w:p>
    <w:p>
      <w:pPr>
        <w:pStyle w:val="36"/>
        <w:ind w:firstLine="480"/>
        <w:rPr>
          <w:color w:val="auto"/>
          <w:highlight w:val="none"/>
        </w:rPr>
      </w:pPr>
      <w:r>
        <w:rPr>
          <w:rFonts w:hint="eastAsia"/>
          <w:color w:val="auto"/>
          <w:highlight w:val="none"/>
        </w:rPr>
        <w:t>供应商与采购代理机构存在关联关系，或者是采购代理机构的母公司或子公司，不得参加本项目政府采购活动。</w:t>
      </w:r>
    </w:p>
    <w:p>
      <w:pPr>
        <w:pStyle w:val="50"/>
        <w:spacing w:before="120" w:after="120"/>
        <w:rPr>
          <w:color w:val="auto"/>
          <w:highlight w:val="none"/>
        </w:rPr>
      </w:pPr>
      <w:bookmarkStart w:id="159" w:name="_Toc12561"/>
      <w:bookmarkStart w:id="160" w:name="_Toc14125"/>
      <w:bookmarkStart w:id="161" w:name="_Toc27564"/>
      <w:bookmarkStart w:id="162" w:name="_Toc21755"/>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33"/>
        <w:numPr>
          <w:ilvl w:val="2"/>
          <w:numId w:val="11"/>
        </w:numPr>
        <w:ind w:firstLine="482"/>
        <w:rPr>
          <w:color w:val="auto"/>
          <w:highlight w:val="none"/>
        </w:rPr>
      </w:pPr>
      <w:bookmarkStart w:id="163" w:name="_Toc183582210"/>
      <w:bookmarkStart w:id="164" w:name="_Toc29642"/>
      <w:bookmarkStart w:id="165" w:name="_Toc217446039"/>
      <w:bookmarkStart w:id="166" w:name="_Toc307501092"/>
      <w:bookmarkStart w:id="167" w:name="_Toc308084580"/>
      <w:bookmarkStart w:id="168" w:name="_Toc29703"/>
      <w:bookmarkStart w:id="169" w:name="_Toc308188135"/>
      <w:bookmarkStart w:id="170" w:name="_Toc24565"/>
      <w:bookmarkStart w:id="171" w:name="_Toc327196269"/>
      <w:bookmarkStart w:id="172" w:name="_Toc309897498"/>
      <w:bookmarkStart w:id="173" w:name="_Toc307564835"/>
      <w:bookmarkStart w:id="174" w:name="_Toc5983"/>
      <w:bookmarkStart w:id="175" w:name="_Toc22520"/>
      <w:bookmarkStart w:id="176" w:name="_Toc319439883"/>
      <w:bookmarkStart w:id="177" w:name="_Toc25650"/>
      <w:bookmarkStart w:id="178" w:name="_Toc319440125"/>
      <w:bookmarkStart w:id="179" w:name="_Toc22945"/>
      <w:bookmarkStart w:id="180" w:name="_Toc21985"/>
      <w:bookmarkStart w:id="181" w:name="_Toc19030"/>
      <w:bookmarkStart w:id="182" w:name="_Toc16404"/>
      <w:bookmarkStart w:id="183" w:name="_Toc183682347"/>
      <w:bookmarkStart w:id="184" w:name="_Toc25874"/>
      <w:bookmarkStart w:id="185" w:name="_Toc8808"/>
      <w:r>
        <w:rPr>
          <w:rFonts w:hint="eastAsia"/>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4"/>
        <w:ind w:firstLine="480"/>
        <w:rPr>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6"/>
        <w:ind w:firstLine="480"/>
        <w:rPr>
          <w:color w:val="auto"/>
          <w:highlight w:val="none"/>
        </w:rPr>
      </w:pPr>
      <w:r>
        <w:rPr>
          <w:rFonts w:hint="eastAsia"/>
          <w:color w:val="auto"/>
          <w:highlight w:val="none"/>
        </w:rPr>
        <w:t>投标邀请；</w:t>
      </w:r>
    </w:p>
    <w:p>
      <w:pPr>
        <w:pStyle w:val="36"/>
        <w:ind w:firstLine="480"/>
        <w:rPr>
          <w:color w:val="auto"/>
          <w:highlight w:val="none"/>
        </w:rPr>
      </w:pPr>
      <w:r>
        <w:rPr>
          <w:rFonts w:hint="eastAsia"/>
          <w:color w:val="auto"/>
          <w:highlight w:val="none"/>
        </w:rPr>
        <w:t>投标人须知(包括投标文件的</w:t>
      </w:r>
      <w:r>
        <w:rPr>
          <w:rFonts w:hint="eastAsia" w:cs="宋体"/>
          <w:color w:val="auto"/>
          <w:highlight w:val="none"/>
        </w:rPr>
        <w:t>制作、签章、加密</w:t>
      </w:r>
      <w:r>
        <w:rPr>
          <w:rFonts w:hint="eastAsia"/>
          <w:color w:val="auto"/>
          <w:highlight w:val="none"/>
        </w:rPr>
        <w:t>要求等)；</w:t>
      </w:r>
    </w:p>
    <w:p>
      <w:pPr>
        <w:pStyle w:val="36"/>
        <w:ind w:firstLine="480"/>
        <w:rPr>
          <w:color w:val="auto"/>
          <w:highlight w:val="none"/>
        </w:rPr>
      </w:pPr>
      <w:r>
        <w:rPr>
          <w:rFonts w:hint="eastAsia"/>
          <w:color w:val="auto"/>
          <w:highlight w:val="none"/>
        </w:rPr>
        <w:t>投标人应当提交的资格、资信证明文件；</w:t>
      </w:r>
    </w:p>
    <w:p>
      <w:pPr>
        <w:pStyle w:val="36"/>
        <w:ind w:firstLine="480"/>
        <w:rPr>
          <w:color w:val="auto"/>
          <w:highlight w:val="none"/>
        </w:rPr>
      </w:pPr>
      <w:r>
        <w:rPr>
          <w:rFonts w:hint="eastAsia"/>
          <w:color w:val="auto"/>
          <w:highlight w:val="none"/>
        </w:rPr>
        <w:t>为落实政府采购政策，采购标的需满足的要求，以及投标人须提供的证明材料；</w:t>
      </w:r>
    </w:p>
    <w:p>
      <w:pPr>
        <w:pStyle w:val="36"/>
        <w:ind w:firstLine="480"/>
        <w:rPr>
          <w:color w:val="auto"/>
          <w:highlight w:val="none"/>
        </w:rPr>
      </w:pPr>
      <w:r>
        <w:rPr>
          <w:rFonts w:hint="eastAsia"/>
          <w:color w:val="auto"/>
          <w:highlight w:val="none"/>
        </w:rPr>
        <w:t>投标文件编制要求、投标报价要求；</w:t>
      </w:r>
    </w:p>
    <w:p>
      <w:pPr>
        <w:pStyle w:val="36"/>
        <w:ind w:firstLine="480"/>
        <w:rPr>
          <w:color w:val="auto"/>
          <w:highlight w:val="none"/>
        </w:rPr>
      </w:pPr>
      <w:r>
        <w:rPr>
          <w:rFonts w:hint="eastAsia"/>
          <w:color w:val="auto"/>
          <w:highlight w:val="none"/>
        </w:rPr>
        <w:t>采购项目预算金额，设定最高限价的，还应当公开最高限价；</w:t>
      </w:r>
    </w:p>
    <w:p>
      <w:pPr>
        <w:pStyle w:val="36"/>
        <w:ind w:firstLine="480"/>
        <w:rPr>
          <w:color w:val="auto"/>
          <w:highlight w:val="none"/>
        </w:rPr>
      </w:pPr>
      <w:r>
        <w:rPr>
          <w:rFonts w:hint="eastAsia"/>
          <w:color w:val="auto"/>
          <w:highlight w:val="none"/>
        </w:rPr>
        <w:t>采购项目的技术规格、数量、服务标准、验收等要求，包括附件、图纸(如涉及)等；</w:t>
      </w:r>
    </w:p>
    <w:p>
      <w:pPr>
        <w:pStyle w:val="36"/>
        <w:ind w:firstLine="480"/>
        <w:rPr>
          <w:color w:val="auto"/>
          <w:highlight w:val="none"/>
        </w:rPr>
      </w:pPr>
      <w:r>
        <w:rPr>
          <w:rFonts w:hint="eastAsia"/>
          <w:color w:val="auto"/>
          <w:highlight w:val="none"/>
        </w:rPr>
        <w:t>拟签订的合同文本；</w:t>
      </w:r>
    </w:p>
    <w:p>
      <w:pPr>
        <w:pStyle w:val="36"/>
        <w:ind w:firstLine="480"/>
        <w:rPr>
          <w:color w:val="auto"/>
          <w:highlight w:val="none"/>
        </w:rPr>
      </w:pPr>
      <w:r>
        <w:rPr>
          <w:rFonts w:hint="eastAsia"/>
          <w:color w:val="auto"/>
          <w:highlight w:val="none"/>
        </w:rPr>
        <w:t>货物、服务提供的时间、地点、方式；</w:t>
      </w:r>
    </w:p>
    <w:p>
      <w:pPr>
        <w:pStyle w:val="36"/>
        <w:ind w:firstLine="480"/>
        <w:rPr>
          <w:color w:val="auto"/>
          <w:highlight w:val="none"/>
        </w:rPr>
      </w:pPr>
      <w:r>
        <w:rPr>
          <w:rFonts w:hint="eastAsia"/>
          <w:color w:val="auto"/>
          <w:highlight w:val="none"/>
        </w:rPr>
        <w:t>采购资金的支付方式、时间、条件；</w:t>
      </w:r>
    </w:p>
    <w:p>
      <w:pPr>
        <w:pStyle w:val="36"/>
        <w:ind w:firstLine="480"/>
        <w:rPr>
          <w:color w:val="auto"/>
          <w:highlight w:val="none"/>
        </w:rPr>
      </w:pPr>
      <w:r>
        <w:rPr>
          <w:rFonts w:hint="eastAsia"/>
          <w:color w:val="auto"/>
          <w:highlight w:val="none"/>
        </w:rPr>
        <w:t>评标方法、评标标准和投标无效情形；</w:t>
      </w:r>
    </w:p>
    <w:p>
      <w:pPr>
        <w:pStyle w:val="36"/>
        <w:ind w:firstLine="480"/>
        <w:rPr>
          <w:color w:val="auto"/>
          <w:highlight w:val="none"/>
        </w:rPr>
      </w:pPr>
      <w:r>
        <w:rPr>
          <w:rFonts w:hint="eastAsia"/>
          <w:color w:val="auto"/>
          <w:highlight w:val="none"/>
        </w:rPr>
        <w:t>投标有效期；</w:t>
      </w:r>
    </w:p>
    <w:p>
      <w:pPr>
        <w:pStyle w:val="36"/>
        <w:ind w:firstLine="480"/>
        <w:rPr>
          <w:color w:val="auto"/>
          <w:highlight w:val="none"/>
        </w:rPr>
      </w:pPr>
      <w:r>
        <w:rPr>
          <w:rFonts w:hint="eastAsia"/>
          <w:color w:val="auto"/>
          <w:highlight w:val="none"/>
        </w:rPr>
        <w:t>投标截止时间、开标时间及地点；</w:t>
      </w:r>
    </w:p>
    <w:p>
      <w:pPr>
        <w:pStyle w:val="36"/>
        <w:ind w:firstLine="480"/>
        <w:rPr>
          <w:color w:val="auto"/>
          <w:highlight w:val="none"/>
        </w:rPr>
      </w:pPr>
      <w:r>
        <w:rPr>
          <w:rFonts w:hint="eastAsia"/>
          <w:color w:val="auto"/>
          <w:highlight w:val="none"/>
        </w:rPr>
        <w:t>采购代理机构代理费用的收取标准和方式；</w:t>
      </w:r>
    </w:p>
    <w:p>
      <w:pPr>
        <w:pStyle w:val="36"/>
        <w:ind w:firstLine="480"/>
        <w:rPr>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36"/>
        <w:ind w:firstLine="480"/>
        <w:rPr>
          <w:color w:val="auto"/>
          <w:highlight w:val="none"/>
        </w:rPr>
      </w:pPr>
      <w:r>
        <w:rPr>
          <w:rFonts w:hint="eastAsia"/>
          <w:color w:val="auto"/>
          <w:highlight w:val="none"/>
        </w:rPr>
        <w:t>省级以上财政部门规定的其他事项。</w:t>
      </w:r>
    </w:p>
    <w:p>
      <w:pPr>
        <w:pStyle w:val="34"/>
        <w:numPr>
          <w:ilvl w:val="3"/>
          <w:numId w:val="11"/>
        </w:numPr>
        <w:ind w:firstLine="480"/>
        <w:rPr>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33"/>
        <w:ind w:firstLine="482"/>
        <w:rPr>
          <w:color w:val="auto"/>
          <w:highlight w:val="none"/>
        </w:rPr>
      </w:pPr>
      <w:bookmarkStart w:id="186" w:name="_Toc183582211"/>
      <w:bookmarkStart w:id="187" w:name="_Toc183682348"/>
      <w:bookmarkStart w:id="188" w:name="_Toc11995"/>
      <w:bookmarkStart w:id="189" w:name="_Toc31172"/>
      <w:bookmarkStart w:id="190" w:name="_Toc308188136"/>
      <w:bookmarkStart w:id="191" w:name="_Toc15822"/>
      <w:bookmarkStart w:id="192" w:name="_Toc309897499"/>
      <w:bookmarkStart w:id="193" w:name="_Toc13600"/>
      <w:bookmarkStart w:id="194" w:name="_Toc7541"/>
      <w:bookmarkStart w:id="195" w:name="_Toc19612"/>
      <w:bookmarkStart w:id="196" w:name="_Toc17632"/>
      <w:bookmarkStart w:id="197" w:name="_Toc26020"/>
      <w:bookmarkStart w:id="198" w:name="_Toc319439884"/>
      <w:bookmarkStart w:id="199" w:name="_Toc327196270"/>
      <w:bookmarkStart w:id="200" w:name="_Toc307564836"/>
      <w:bookmarkStart w:id="201" w:name="_Toc25894"/>
      <w:bookmarkStart w:id="202" w:name="_Toc22085"/>
      <w:bookmarkStart w:id="203" w:name="_Toc217446040"/>
      <w:bookmarkStart w:id="204" w:name="_Toc307501093"/>
      <w:bookmarkStart w:id="205" w:name="_Toc16291"/>
      <w:bookmarkStart w:id="206" w:name="_Toc308084581"/>
      <w:bookmarkStart w:id="207" w:name="_Toc27690"/>
      <w:bookmarkStart w:id="208" w:name="_Toc319440126"/>
      <w:r>
        <w:rPr>
          <w:rFonts w:hint="eastAsia"/>
          <w:color w:val="auto"/>
          <w:highlight w:val="none"/>
        </w:rPr>
        <w:t>招标文件的澄清</w:t>
      </w:r>
      <w:bookmarkEnd w:id="186"/>
      <w:bookmarkEnd w:id="187"/>
      <w:r>
        <w:rPr>
          <w:rFonts w:hint="eastAsia"/>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4"/>
        <w:ind w:firstLine="480"/>
        <w:rPr>
          <w:color w:val="auto"/>
          <w:highlight w:val="none"/>
        </w:rPr>
      </w:pPr>
      <w:bookmarkStart w:id="209" w:name="_Toc308084582"/>
      <w:bookmarkStart w:id="210" w:name="_Toc7026"/>
      <w:bookmarkStart w:id="211" w:name="_Toc319440127"/>
      <w:bookmarkStart w:id="212" w:name="_Toc3159"/>
      <w:bookmarkStart w:id="213" w:name="_Toc307501094"/>
      <w:bookmarkStart w:id="214" w:name="_Toc8838"/>
      <w:bookmarkStart w:id="215" w:name="_Toc17111"/>
      <w:bookmarkStart w:id="216" w:name="_Toc309897500"/>
      <w:bookmarkStart w:id="217" w:name="_Toc327196271"/>
      <w:bookmarkStart w:id="218" w:name="_Toc6811"/>
      <w:bookmarkStart w:id="219" w:name="_Toc24226"/>
      <w:bookmarkStart w:id="220" w:name="_Toc308188137"/>
      <w:bookmarkStart w:id="221" w:name="_Toc319439885"/>
      <w:bookmarkStart w:id="222" w:name="_Toc22061"/>
      <w:bookmarkStart w:id="223" w:name="_Toc3361"/>
      <w:bookmarkStart w:id="224" w:name="_Toc2637"/>
      <w:bookmarkStart w:id="225" w:name="_Toc307564837"/>
      <w:bookmarkStart w:id="226" w:name="_Toc217446041"/>
      <w:bookmarkStart w:id="227" w:name="_Toc208848971"/>
      <w:bookmarkStart w:id="228" w:name="_Toc9735"/>
      <w:r>
        <w:rPr>
          <w:rFonts w:hint="eastAsia"/>
          <w:color w:val="auto"/>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34"/>
        <w:ind w:firstLine="480"/>
        <w:rPr>
          <w:color w:val="auto"/>
          <w:highlight w:val="none"/>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发布更正公告；不足15日的，采购人或者采购代理机构应当顺延提交投标文件的截止时间。</w:t>
      </w:r>
    </w:p>
    <w:p>
      <w:pPr>
        <w:pStyle w:val="34"/>
        <w:ind w:firstLine="482"/>
        <w:rPr>
          <w:b/>
          <w:bCs/>
          <w:color w:val="auto"/>
          <w:highlight w:val="none"/>
        </w:rPr>
      </w:pPr>
      <w:r>
        <w:rPr>
          <w:rFonts w:hint="eastAsia"/>
          <w:b/>
          <w:bCs/>
          <w:color w:val="auto"/>
          <w:highlight w:val="none"/>
        </w:rPr>
        <w:t>投标人应于投标文件递交截止时间之前在“四川政府采购网”查询本项目的更正公告，以保证其对招标文件做出准确的响应。投标人未按要求下载相关文件，或由于未及时关注更正公告的信息造成的后果，其责任由投标人自行负责。</w:t>
      </w:r>
    </w:p>
    <w:p>
      <w:pPr>
        <w:pStyle w:val="33"/>
        <w:ind w:firstLine="482"/>
        <w:rPr>
          <w:color w:val="auto"/>
          <w:highlight w:val="none"/>
        </w:rPr>
      </w:pPr>
      <w:bookmarkStart w:id="229" w:name="_Toc20381"/>
      <w:bookmarkStart w:id="230" w:name="_Toc31570"/>
      <w:r>
        <w:rPr>
          <w:rFonts w:hint="eastAsia"/>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4"/>
        <w:ind w:firstLine="480"/>
        <w:rPr>
          <w:color w:val="auto"/>
          <w:highlight w:val="none"/>
        </w:rPr>
      </w:pPr>
      <w:bookmarkStart w:id="231" w:name="_Toc217446042"/>
      <w:bookmarkStart w:id="232" w:name="_Toc20199"/>
      <w:bookmarkStart w:id="233" w:name="_Toc77400780"/>
      <w:bookmarkStart w:id="234" w:name="_Toc89075876"/>
      <w:bookmarkStart w:id="235" w:name="_Toc183682351"/>
      <w:bookmarkStart w:id="236" w:name="_Toc183582214"/>
      <w:bookmarkStart w:id="237" w:name="_Toc327196272"/>
      <w:r>
        <w:rPr>
          <w:rFonts w:hint="eastAsia"/>
          <w:color w:val="auto"/>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34"/>
        <w:ind w:firstLine="480"/>
        <w:rPr>
          <w:color w:val="auto"/>
          <w:highlight w:val="none"/>
        </w:rPr>
      </w:pPr>
      <w:r>
        <w:rPr>
          <w:rFonts w:hint="eastAsia"/>
          <w:color w:val="auto"/>
          <w:highlight w:val="none"/>
        </w:rPr>
        <w:t>投标人考察现场所发生的一切费用由投标人自行承担。</w:t>
      </w:r>
    </w:p>
    <w:p>
      <w:pPr>
        <w:pStyle w:val="50"/>
        <w:spacing w:before="120" w:after="120"/>
        <w:rPr>
          <w:color w:val="auto"/>
          <w:highlight w:val="none"/>
        </w:rPr>
      </w:pPr>
      <w:bookmarkStart w:id="238" w:name="_Toc615"/>
      <w:bookmarkStart w:id="239" w:name="_Toc24859"/>
      <w:bookmarkStart w:id="240" w:name="_Toc27479"/>
      <w:bookmarkStart w:id="241" w:name="_Toc16131"/>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33"/>
        <w:numPr>
          <w:ilvl w:val="2"/>
          <w:numId w:val="12"/>
        </w:numPr>
        <w:ind w:firstLine="482"/>
        <w:rPr>
          <w:color w:val="auto"/>
          <w:highlight w:val="none"/>
        </w:rPr>
      </w:pPr>
      <w:bookmarkStart w:id="242" w:name="_Toc1641"/>
      <w:bookmarkStart w:id="243" w:name="_Toc308188139"/>
      <w:bookmarkStart w:id="244" w:name="_Toc327196273"/>
      <w:bookmarkStart w:id="245" w:name="_Toc307564839"/>
      <w:bookmarkStart w:id="246" w:name="_Toc183682352"/>
      <w:bookmarkStart w:id="247" w:name="_Toc23564"/>
      <w:bookmarkStart w:id="248" w:name="_Toc183582215"/>
      <w:bookmarkStart w:id="249" w:name="_Toc307501096"/>
      <w:bookmarkStart w:id="250" w:name="_Toc26076"/>
      <w:bookmarkStart w:id="251" w:name="_Toc2601"/>
      <w:bookmarkStart w:id="252" w:name="_Toc319440129"/>
      <w:bookmarkStart w:id="253" w:name="_Toc308084584"/>
      <w:bookmarkStart w:id="254" w:name="_Toc21169"/>
      <w:bookmarkStart w:id="255" w:name="_Toc27053"/>
      <w:bookmarkStart w:id="256" w:name="_Toc217446043"/>
      <w:bookmarkStart w:id="257" w:name="_Toc309897502"/>
      <w:bookmarkStart w:id="258" w:name="_Toc29330"/>
      <w:bookmarkStart w:id="259" w:name="_Toc3041"/>
      <w:bookmarkStart w:id="260" w:name="_Toc319439887"/>
      <w:bookmarkStart w:id="261" w:name="_Toc14178"/>
      <w:bookmarkStart w:id="262" w:name="_Toc4630"/>
      <w:bookmarkStart w:id="263" w:name="_Toc8388"/>
      <w:bookmarkStart w:id="264" w:name="_Toc11217"/>
      <w:r>
        <w:rPr>
          <w:rFonts w:hint="eastAsia"/>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olor w:val="auto"/>
          <w:highlight w:val="none"/>
        </w:rPr>
        <w:t>(实质性要求)</w:t>
      </w:r>
      <w:bookmarkEnd w:id="261"/>
      <w:bookmarkEnd w:id="262"/>
      <w:bookmarkEnd w:id="263"/>
      <w:bookmarkEnd w:id="264"/>
    </w:p>
    <w:p>
      <w:pPr>
        <w:pStyle w:val="34"/>
        <w:ind w:firstLine="480"/>
        <w:rPr>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34"/>
        <w:ind w:firstLine="480"/>
        <w:rPr>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33"/>
        <w:ind w:firstLine="482"/>
        <w:rPr>
          <w:color w:val="auto"/>
          <w:highlight w:val="none"/>
        </w:rPr>
      </w:pPr>
      <w:bookmarkStart w:id="265" w:name="_Toc183682353"/>
      <w:bookmarkStart w:id="266" w:name="_Toc2379"/>
      <w:bookmarkStart w:id="267" w:name="_Toc308188140"/>
      <w:bookmarkStart w:id="268" w:name="_Toc12195"/>
      <w:bookmarkStart w:id="269" w:name="_Toc308084585"/>
      <w:bookmarkStart w:id="270" w:name="_Toc327196274"/>
      <w:bookmarkStart w:id="271" w:name="_Toc217446044"/>
      <w:bookmarkStart w:id="272" w:name="_Toc307501097"/>
      <w:bookmarkStart w:id="273" w:name="_Toc15145"/>
      <w:bookmarkStart w:id="274" w:name="_Toc307564840"/>
      <w:bookmarkStart w:id="275" w:name="_Toc319440130"/>
      <w:bookmarkStart w:id="276" w:name="_Toc17444"/>
      <w:bookmarkStart w:id="277" w:name="_Toc15226"/>
      <w:bookmarkStart w:id="278" w:name="_Toc309897503"/>
      <w:bookmarkStart w:id="279" w:name="_Toc20188"/>
      <w:bookmarkStart w:id="280" w:name="_Toc183582216"/>
      <w:bookmarkStart w:id="281" w:name="_Toc319439888"/>
      <w:bookmarkStart w:id="282" w:name="_Toc20091"/>
      <w:bookmarkStart w:id="283" w:name="_Toc11901"/>
      <w:bookmarkStart w:id="284" w:name="_Toc10594"/>
      <w:bookmarkStart w:id="285" w:name="_Toc24628"/>
      <w:bookmarkStart w:id="286" w:name="_Toc12658"/>
      <w:bookmarkStart w:id="287" w:name="_Toc18700"/>
      <w:r>
        <w:rPr>
          <w:rFonts w:hint="eastAsia"/>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olor w:val="auto"/>
          <w:highlight w:val="none"/>
        </w:rPr>
        <w:t>(实质性要求)</w:t>
      </w:r>
      <w:bookmarkEnd w:id="284"/>
      <w:bookmarkEnd w:id="285"/>
      <w:bookmarkEnd w:id="286"/>
      <w:bookmarkEnd w:id="287"/>
    </w:p>
    <w:p>
      <w:pPr>
        <w:pStyle w:val="35"/>
        <w:rPr>
          <w:color w:val="auto"/>
          <w:highlight w:val="none"/>
        </w:rPr>
      </w:pPr>
      <w:r>
        <w:rPr>
          <w:rFonts w:hint="eastAsia"/>
          <w:color w:val="auto"/>
          <w:highlight w:val="none"/>
        </w:rPr>
        <w:t>除技术规格及要求中另有规定外，本采购项下的投标均采用国家法定的计量单位。</w:t>
      </w:r>
    </w:p>
    <w:p>
      <w:pPr>
        <w:pStyle w:val="33"/>
        <w:ind w:firstLine="482"/>
        <w:rPr>
          <w:color w:val="auto"/>
          <w:highlight w:val="none"/>
        </w:rPr>
      </w:pPr>
      <w:bookmarkStart w:id="288" w:name="_Toc319440131"/>
      <w:bookmarkStart w:id="289" w:name="_Toc307501098"/>
      <w:bookmarkStart w:id="290" w:name="_Toc307564841"/>
      <w:bookmarkStart w:id="291" w:name="_Toc25216"/>
      <w:bookmarkStart w:id="292" w:name="_Toc15435"/>
      <w:bookmarkStart w:id="293" w:name="_Toc309897504"/>
      <w:bookmarkStart w:id="294" w:name="_Toc698"/>
      <w:bookmarkStart w:id="295" w:name="_Toc308188141"/>
      <w:bookmarkStart w:id="296" w:name="_Toc16798"/>
      <w:bookmarkStart w:id="297" w:name="_Toc8803"/>
      <w:bookmarkStart w:id="298" w:name="_Toc327196275"/>
      <w:bookmarkStart w:id="299" w:name="_Toc308084586"/>
      <w:bookmarkStart w:id="300" w:name="_Toc24761"/>
      <w:bookmarkStart w:id="301" w:name="_Toc22739"/>
      <w:bookmarkStart w:id="302" w:name="_Toc217446045"/>
      <w:bookmarkStart w:id="303" w:name="_Toc8881"/>
      <w:bookmarkStart w:id="304" w:name="_Toc319439889"/>
      <w:bookmarkStart w:id="305" w:name="_Toc19960"/>
      <w:bookmarkStart w:id="306" w:name="_Toc20780"/>
      <w:bookmarkStart w:id="307" w:name="_Toc11633"/>
      <w:bookmarkStart w:id="308" w:name="_Toc24154"/>
      <w:r>
        <w:rPr>
          <w:rFonts w:hint="eastAsia"/>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olor w:val="auto"/>
          <w:highlight w:val="none"/>
        </w:rPr>
        <w:t>(实质性要求)</w:t>
      </w:r>
      <w:bookmarkEnd w:id="305"/>
      <w:bookmarkEnd w:id="306"/>
      <w:bookmarkEnd w:id="307"/>
      <w:bookmarkEnd w:id="308"/>
    </w:p>
    <w:p>
      <w:pPr>
        <w:pStyle w:val="35"/>
        <w:rPr>
          <w:color w:val="auto"/>
          <w:highlight w:val="none"/>
        </w:rPr>
      </w:pPr>
      <w:r>
        <w:rPr>
          <w:rFonts w:hint="eastAsia"/>
          <w:color w:val="auto"/>
          <w:highlight w:val="none"/>
        </w:rPr>
        <w:t>本次招标项目的投标均以人民币报价。</w:t>
      </w:r>
    </w:p>
    <w:p>
      <w:pPr>
        <w:pStyle w:val="33"/>
        <w:ind w:firstLine="482"/>
        <w:rPr>
          <w:color w:val="auto"/>
          <w:highlight w:val="none"/>
        </w:rPr>
      </w:pPr>
      <w:bookmarkStart w:id="309" w:name="_Toc15074"/>
      <w:bookmarkStart w:id="310" w:name="_Toc24432"/>
      <w:bookmarkStart w:id="311" w:name="_Toc8550"/>
      <w:bookmarkStart w:id="312" w:name="_Toc21797"/>
      <w:bookmarkStart w:id="313" w:name="_Toc319440132"/>
      <w:bookmarkStart w:id="314" w:name="_Toc7935"/>
      <w:bookmarkStart w:id="315" w:name="_Toc217446046"/>
      <w:bookmarkStart w:id="316" w:name="_Toc319439890"/>
      <w:bookmarkStart w:id="317" w:name="_Toc309897505"/>
      <w:bookmarkStart w:id="318" w:name="_Toc327196276"/>
      <w:bookmarkStart w:id="319" w:name="_Toc25266"/>
      <w:bookmarkStart w:id="320" w:name="_Toc32108"/>
      <w:bookmarkStart w:id="321" w:name="_Toc4336"/>
      <w:bookmarkStart w:id="322" w:name="_Toc307501099"/>
      <w:bookmarkStart w:id="323" w:name="_Toc307564842"/>
      <w:bookmarkStart w:id="324" w:name="_Toc21894"/>
      <w:bookmarkStart w:id="325" w:name="_Toc308084587"/>
      <w:bookmarkStart w:id="326" w:name="_Toc32667"/>
      <w:bookmarkStart w:id="327" w:name="_Toc308188142"/>
      <w:bookmarkStart w:id="328" w:name="_Toc16409"/>
      <w:bookmarkStart w:id="329" w:name="_Toc25923"/>
      <w:bookmarkStart w:id="330" w:name="_Toc18257"/>
      <w:bookmarkStart w:id="331" w:name="_Toc27877"/>
      <w:bookmarkStart w:id="332" w:name="_Toc13754"/>
      <w:bookmarkStart w:id="333" w:name="_Toc319439891"/>
      <w:bookmarkStart w:id="334" w:name="_Toc308188143"/>
      <w:bookmarkStart w:id="335" w:name="_Toc2050"/>
      <w:bookmarkStart w:id="336" w:name="_Toc309897506"/>
      <w:bookmarkStart w:id="337" w:name="_Toc30958"/>
      <w:bookmarkStart w:id="338" w:name="_Toc217446047"/>
      <w:bookmarkStart w:id="339" w:name="_Toc18912"/>
      <w:bookmarkStart w:id="340" w:name="_Toc327196277"/>
      <w:bookmarkStart w:id="341" w:name="_Toc10974"/>
      <w:bookmarkStart w:id="342" w:name="_Toc319440133"/>
      <w:bookmarkStart w:id="343" w:name="_Toc307501100"/>
      <w:bookmarkStart w:id="344" w:name="_Toc7819"/>
      <w:bookmarkStart w:id="345" w:name="_Toc3781"/>
      <w:bookmarkStart w:id="346" w:name="_Toc308084588"/>
      <w:bookmarkStart w:id="347" w:name="_Toc307564843"/>
      <w:bookmarkStart w:id="348" w:name="_Toc15468"/>
      <w:bookmarkStart w:id="349" w:name="_Toc9626"/>
      <w:r>
        <w:rPr>
          <w:rFonts w:hint="eastAsia"/>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highlight w:val="none"/>
        </w:rPr>
        <w:t>(实质性要求)</w:t>
      </w:r>
      <w:bookmarkEnd w:id="330"/>
    </w:p>
    <w:p>
      <w:pPr>
        <w:pStyle w:val="31"/>
        <w:ind w:firstLine="480" w:firstLineChars="200"/>
        <w:rPr>
          <w:color w:val="auto"/>
          <w:highlight w:val="none"/>
        </w:rPr>
      </w:pPr>
      <w:bookmarkStart w:id="350" w:name="_Toc30421"/>
      <w:r>
        <w:rPr>
          <w:rFonts w:hint="eastAsia"/>
          <w:color w:val="auto"/>
          <w:highlight w:val="none"/>
        </w:rPr>
        <w:t>本项目不接受联合体投标。</w:t>
      </w:r>
    </w:p>
    <w:p>
      <w:pPr>
        <w:pStyle w:val="33"/>
        <w:ind w:firstLine="482"/>
        <w:rPr>
          <w:color w:val="auto"/>
          <w:highlight w:val="none"/>
        </w:rPr>
      </w:pPr>
      <w:bookmarkStart w:id="351" w:name="_Toc19298"/>
      <w:r>
        <w:rPr>
          <w:rFonts w:hint="eastAsia"/>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olor w:val="auto"/>
          <w:highlight w:val="none"/>
        </w:rPr>
        <w:t>(实质性要求)</w:t>
      </w:r>
      <w:bookmarkEnd w:id="348"/>
      <w:bookmarkEnd w:id="349"/>
      <w:bookmarkEnd w:id="350"/>
      <w:bookmarkEnd w:id="351"/>
    </w:p>
    <w:p>
      <w:pPr>
        <w:pStyle w:val="34"/>
        <w:ind w:firstLine="480"/>
        <w:rPr>
          <w:color w:val="auto"/>
          <w:highlight w:val="none"/>
        </w:rPr>
      </w:pPr>
      <w:bookmarkStart w:id="352" w:name="_Toc16281"/>
      <w:bookmarkStart w:id="353" w:name="_Toc183582217"/>
      <w:bookmarkStart w:id="354" w:name="_Toc6143"/>
      <w:bookmarkStart w:id="355" w:name="_Toc307564844"/>
      <w:bookmarkStart w:id="356" w:name="_Toc7660"/>
      <w:bookmarkStart w:id="357" w:name="_Toc8432"/>
      <w:bookmarkStart w:id="358" w:name="_Toc183682354"/>
      <w:bookmarkStart w:id="359" w:name="_Toc307501101"/>
      <w:bookmarkStart w:id="360" w:name="_Toc2706"/>
      <w:bookmarkStart w:id="361" w:name="_Toc11856"/>
      <w:bookmarkStart w:id="362" w:name="_Toc319439892"/>
      <w:bookmarkStart w:id="363" w:name="_Toc217446048"/>
      <w:bookmarkStart w:id="364" w:name="_Toc30708"/>
      <w:bookmarkStart w:id="365" w:name="_Toc1140"/>
      <w:bookmarkStart w:id="366" w:name="_Toc10817"/>
      <w:bookmarkStart w:id="367" w:name="_Toc319440134"/>
      <w:bookmarkStart w:id="368" w:name="_Toc5369"/>
      <w:bookmarkStart w:id="369" w:name="_Toc327196278"/>
      <w:bookmarkStart w:id="370" w:name="_Toc308084589"/>
      <w:bookmarkStart w:id="371" w:name="_Toc309897507"/>
      <w:bookmarkStart w:id="372" w:name="_Toc308188144"/>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4"/>
        <w:ind w:firstLine="480"/>
        <w:rPr>
          <w:color w:val="auto"/>
          <w:highlight w:val="none"/>
        </w:rPr>
      </w:pPr>
      <w:r>
        <w:rPr>
          <w:rFonts w:hint="eastAsia"/>
          <w:color w:val="auto"/>
          <w:highlight w:val="none"/>
        </w:rPr>
        <w:t>采购人享有本项目实施过程中产生的知识成果及知识产权。</w:t>
      </w:r>
    </w:p>
    <w:p>
      <w:pPr>
        <w:pStyle w:val="34"/>
        <w:ind w:firstLine="48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34"/>
        <w:ind w:firstLine="48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34"/>
        <w:ind w:firstLine="480"/>
        <w:rPr>
          <w:color w:val="auto"/>
          <w:highlight w:val="none"/>
        </w:rPr>
      </w:pPr>
      <w:r>
        <w:rPr>
          <w:rFonts w:hint="eastAsia"/>
          <w:color w:val="auto"/>
          <w:highlight w:val="none"/>
        </w:rPr>
        <w:t>如采购项目涉及知识产权时按照此条要求执行，并在评审时作实质性审查。</w:t>
      </w:r>
    </w:p>
    <w:p>
      <w:pPr>
        <w:pStyle w:val="33"/>
        <w:ind w:firstLine="482"/>
        <w:rPr>
          <w:color w:val="auto"/>
          <w:highlight w:val="none"/>
        </w:rPr>
      </w:pPr>
      <w:bookmarkStart w:id="373" w:name="_Toc1725"/>
      <w:bookmarkStart w:id="374" w:name="_Toc28370"/>
      <w:r>
        <w:rPr>
          <w:rFonts w:hint="eastAsia"/>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5"/>
        <w:rPr>
          <w:color w:val="auto"/>
          <w:highlight w:val="none"/>
        </w:rPr>
      </w:pPr>
      <w:bookmarkStart w:id="375" w:name="_Toc183682355"/>
      <w:bookmarkStart w:id="376" w:name="_Toc307501102"/>
      <w:bookmarkStart w:id="377" w:name="_Toc217446049"/>
      <w:bookmarkStart w:id="378" w:name="_Toc183582218"/>
      <w:r>
        <w:rPr>
          <w:rFonts w:hint="eastAsia"/>
          <w:color w:val="auto"/>
          <w:highlight w:val="none"/>
        </w:rPr>
        <w:t>投标人应按照招标文件的规定和要求编制投标文件，否则视为无效投标。投标人编写的投标文件应包括以下两部分：</w:t>
      </w:r>
    </w:p>
    <w:p>
      <w:pPr>
        <w:pStyle w:val="34"/>
        <w:ind w:firstLine="480"/>
        <w:rPr>
          <w:color w:val="auto"/>
          <w:highlight w:val="none"/>
        </w:rPr>
      </w:pPr>
      <w:r>
        <w:rPr>
          <w:rFonts w:hint="eastAsia"/>
          <w:color w:val="auto"/>
          <w:highlight w:val="none"/>
        </w:rPr>
        <w:t>第一部分：资格、资质性及其他类似效力投标文件(用于资格审查)</w:t>
      </w:r>
    </w:p>
    <w:p>
      <w:pPr>
        <w:pStyle w:val="35"/>
        <w:rPr>
          <w:color w:val="auto"/>
          <w:highlight w:val="none"/>
        </w:rPr>
      </w:pPr>
      <w:r>
        <w:rPr>
          <w:rFonts w:hint="eastAsia"/>
          <w:color w:val="auto"/>
          <w:highlight w:val="none"/>
        </w:rPr>
        <w:t>按照招标文件第四、五章要求提供相关资格、资质性及其他类似效力要求的相关证明材料。</w:t>
      </w:r>
    </w:p>
    <w:p>
      <w:pPr>
        <w:pStyle w:val="34"/>
        <w:ind w:firstLine="480"/>
        <w:rPr>
          <w:color w:val="auto"/>
          <w:highlight w:val="none"/>
        </w:rPr>
      </w:pPr>
      <w:r>
        <w:rPr>
          <w:rFonts w:hint="eastAsia"/>
          <w:color w:val="auto"/>
          <w:highlight w:val="none"/>
        </w:rPr>
        <w:t>第二部分：其它投标文件(用于资格审查以外的评标)</w:t>
      </w:r>
    </w:p>
    <w:p>
      <w:pPr>
        <w:pStyle w:val="35"/>
        <w:rPr>
          <w:color w:val="auto"/>
          <w:highlight w:val="none"/>
        </w:rPr>
      </w:pPr>
      <w:r>
        <w:rPr>
          <w:rFonts w:hint="eastAsia"/>
          <w:color w:val="auto"/>
          <w:highlight w:val="none"/>
        </w:rPr>
        <w:t>按照招标文件要求提供以下相关材料：</w:t>
      </w:r>
    </w:p>
    <w:p>
      <w:pPr>
        <w:pStyle w:val="36"/>
        <w:ind w:firstLine="482"/>
        <w:rPr>
          <w:b/>
          <w:bCs/>
          <w:color w:val="auto"/>
          <w:highlight w:val="none"/>
        </w:rPr>
      </w:pPr>
      <w:r>
        <w:rPr>
          <w:rFonts w:hint="eastAsia"/>
          <w:b/>
          <w:bCs/>
          <w:color w:val="auto"/>
          <w:highlight w:val="none"/>
        </w:rPr>
        <w:t xml:space="preserve"> 报价部分</w:t>
      </w:r>
      <w:r>
        <w:rPr>
          <w:rFonts w:hint="eastAsia"/>
          <w:b/>
          <w:bCs/>
          <w:color w:val="auto"/>
          <w:highlight w:val="none"/>
          <w:lang w:val="zh-CN"/>
        </w:rPr>
        <w:t>(实质性要求)</w:t>
      </w:r>
    </w:p>
    <w:p>
      <w:pPr>
        <w:pStyle w:val="44"/>
        <w:numPr>
          <w:ilvl w:val="3"/>
          <w:numId w:val="0"/>
        </w:numPr>
        <w:ind w:left="480" w:leftChars="200"/>
        <w:rPr>
          <w:color w:val="auto"/>
          <w:highlight w:val="none"/>
        </w:rPr>
      </w:pPr>
      <w:r>
        <w:rPr>
          <w:rFonts w:hint="eastAsia"/>
          <w:color w:val="auto"/>
          <w:highlight w:val="none"/>
        </w:rPr>
        <w:t>投标人按照以下要求填写的“开标一览表”。本次招标报价要求：</w:t>
      </w:r>
    </w:p>
    <w:p>
      <w:pPr>
        <w:pStyle w:val="37"/>
        <w:ind w:firstLine="480"/>
        <w:rPr>
          <w:color w:val="auto"/>
          <w:highlight w:val="none"/>
        </w:rPr>
      </w:pPr>
      <w:r>
        <w:rPr>
          <w:rFonts w:hint="eastAsia"/>
          <w:color w:val="auto"/>
          <w:highlight w:val="none"/>
        </w:rPr>
        <w:t>投标人的报价是投标人响应招标项目要求的全部采购内容的价格体现，包括完成本项目所涉及的一切费用。</w:t>
      </w:r>
    </w:p>
    <w:p>
      <w:pPr>
        <w:pStyle w:val="37"/>
        <w:ind w:firstLine="48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6"/>
        <w:ind w:firstLine="482"/>
        <w:rPr>
          <w:b/>
          <w:bCs/>
          <w:color w:val="auto"/>
          <w:highlight w:val="none"/>
          <w:lang w:val="zh-CN"/>
        </w:rPr>
      </w:pPr>
      <w:r>
        <w:rPr>
          <w:rFonts w:hint="eastAsia"/>
          <w:b/>
          <w:bCs/>
          <w:color w:val="auto"/>
          <w:highlight w:val="none"/>
        </w:rPr>
        <w:t xml:space="preserve"> 技术</w:t>
      </w:r>
      <w:r>
        <w:rPr>
          <w:rFonts w:hint="eastAsia"/>
          <w:b/>
          <w:bCs/>
          <w:color w:val="auto"/>
          <w:highlight w:val="none"/>
          <w:lang w:val="zh-CN"/>
        </w:rPr>
        <w:t>部分</w:t>
      </w:r>
    </w:p>
    <w:p>
      <w:pPr>
        <w:pStyle w:val="35"/>
        <w:rPr>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技术应答应尽可能</w:t>
      </w:r>
      <w:r>
        <w:rPr>
          <w:rFonts w:hint="eastAsia"/>
          <w:color w:val="auto"/>
          <w:highlight w:val="none"/>
          <w:lang w:val="zh-CN"/>
        </w:rPr>
        <w:t>包括下列内容：</w:t>
      </w:r>
    </w:p>
    <w:p>
      <w:pPr>
        <w:pStyle w:val="37"/>
        <w:ind w:firstLine="480"/>
        <w:rPr>
          <w:color w:val="auto"/>
          <w:highlight w:val="none"/>
        </w:rPr>
      </w:pPr>
      <w:r>
        <w:rPr>
          <w:rFonts w:hint="eastAsia"/>
          <w:color w:val="auto"/>
          <w:highlight w:val="none"/>
        </w:rPr>
        <w:t>投标产品的品牌、规格、型号、产地、配置；</w:t>
      </w:r>
    </w:p>
    <w:p>
      <w:pPr>
        <w:pStyle w:val="37"/>
        <w:ind w:firstLine="480"/>
        <w:rPr>
          <w:color w:val="auto"/>
          <w:highlight w:val="none"/>
        </w:rPr>
      </w:pPr>
      <w:r>
        <w:rPr>
          <w:rFonts w:hint="eastAsia"/>
          <w:color w:val="auto"/>
          <w:highlight w:val="none"/>
        </w:rPr>
        <w:t>投标产品本身的详细的技术指标和参数(应当尽可能提供检测报告、产品使用说明书、用户手册等材料予以佐证)；</w:t>
      </w:r>
    </w:p>
    <w:p>
      <w:pPr>
        <w:pStyle w:val="37"/>
        <w:ind w:firstLine="480"/>
        <w:rPr>
          <w:color w:val="auto"/>
          <w:highlight w:val="none"/>
        </w:rPr>
      </w:pPr>
      <w:r>
        <w:rPr>
          <w:rFonts w:hint="eastAsia"/>
          <w:color w:val="auto"/>
          <w:highlight w:val="none"/>
        </w:rPr>
        <w:t>投标产品技术参数响应表；</w:t>
      </w:r>
    </w:p>
    <w:p>
      <w:pPr>
        <w:pStyle w:val="37"/>
        <w:ind w:firstLine="480"/>
        <w:rPr>
          <w:color w:val="auto"/>
          <w:highlight w:val="none"/>
        </w:rPr>
      </w:pPr>
      <w:r>
        <w:rPr>
          <w:rFonts w:hint="eastAsia"/>
          <w:color w:val="auto"/>
          <w:highlight w:val="none"/>
        </w:rPr>
        <w:t>产品彩页资料(如涉及需经过有关部门广告审核)；</w:t>
      </w:r>
    </w:p>
    <w:p>
      <w:pPr>
        <w:pStyle w:val="37"/>
        <w:ind w:firstLine="480"/>
        <w:rPr>
          <w:color w:val="auto"/>
          <w:highlight w:val="none"/>
        </w:rPr>
      </w:pPr>
      <w:r>
        <w:rPr>
          <w:rFonts w:hint="eastAsia"/>
          <w:color w:val="auto"/>
          <w:highlight w:val="none"/>
        </w:rPr>
        <w:t>产品验收标准和验收方法；</w:t>
      </w:r>
    </w:p>
    <w:p>
      <w:pPr>
        <w:pStyle w:val="37"/>
        <w:ind w:firstLine="480"/>
        <w:rPr>
          <w:color w:val="auto"/>
          <w:highlight w:val="none"/>
        </w:rPr>
      </w:pPr>
      <w:r>
        <w:rPr>
          <w:rFonts w:hint="eastAsia"/>
          <w:color w:val="auto"/>
          <w:highlight w:val="none"/>
        </w:rPr>
        <w:t>产品验收清单(注明各部件的品名、数量、价格、规格型号和原产地或生产厂家)；</w:t>
      </w:r>
    </w:p>
    <w:p>
      <w:pPr>
        <w:pStyle w:val="37"/>
        <w:ind w:firstLine="480"/>
        <w:rPr>
          <w:color w:val="auto"/>
          <w:highlight w:val="none"/>
        </w:rPr>
      </w:pPr>
      <w:r>
        <w:rPr>
          <w:rFonts w:hint="eastAsia"/>
          <w:color w:val="auto"/>
          <w:highlight w:val="none"/>
        </w:rPr>
        <w:t>投标人认为需要提供的文件和资料。</w:t>
      </w:r>
    </w:p>
    <w:p>
      <w:pPr>
        <w:pStyle w:val="36"/>
        <w:ind w:firstLine="482"/>
        <w:rPr>
          <w:b/>
          <w:bCs/>
          <w:color w:val="auto"/>
          <w:highlight w:val="none"/>
        </w:rPr>
      </w:pPr>
      <w:r>
        <w:rPr>
          <w:rFonts w:hint="eastAsia"/>
          <w:b/>
          <w:bCs/>
          <w:color w:val="auto"/>
          <w:highlight w:val="none"/>
        </w:rPr>
        <w:t xml:space="preserve"> 商务部分</w:t>
      </w:r>
    </w:p>
    <w:p>
      <w:pPr>
        <w:pStyle w:val="36"/>
        <w:numPr>
          <w:ilvl w:val="4"/>
          <w:numId w:val="0"/>
        </w:numPr>
        <w:ind w:left="480" w:leftChars="200"/>
        <w:rPr>
          <w:color w:val="auto"/>
          <w:highlight w:val="none"/>
        </w:rPr>
      </w:pPr>
      <w:r>
        <w:rPr>
          <w:rFonts w:hint="eastAsia"/>
          <w:color w:val="auto"/>
          <w:highlight w:val="none"/>
        </w:rPr>
        <w:t>投标人按照招标文件要求提供的有关证明材料；至少应包括但不限于以下内容：</w:t>
      </w:r>
    </w:p>
    <w:p>
      <w:pPr>
        <w:pStyle w:val="37"/>
        <w:ind w:firstLine="480"/>
        <w:rPr>
          <w:color w:val="auto"/>
          <w:highlight w:val="none"/>
        </w:rPr>
      </w:pPr>
      <w:bookmarkStart w:id="379" w:name="_Toc310412059"/>
      <w:bookmarkStart w:id="380" w:name="_Toc177972975"/>
      <w:bookmarkStart w:id="381" w:name="_Toc177972289"/>
      <w:bookmarkStart w:id="382" w:name="_Toc310411990"/>
      <w:bookmarkStart w:id="383" w:name="_Toc338418069"/>
      <w:bookmarkStart w:id="384" w:name="_Toc310410799"/>
      <w:bookmarkStart w:id="385" w:name="_Toc148505258"/>
      <w:r>
        <w:rPr>
          <w:rFonts w:hint="eastAsia"/>
          <w:color w:val="auto"/>
          <w:highlight w:val="none"/>
        </w:rPr>
        <w:t>投标函；</w:t>
      </w:r>
    </w:p>
    <w:p>
      <w:pPr>
        <w:pStyle w:val="37"/>
        <w:ind w:firstLine="480"/>
        <w:rPr>
          <w:color w:val="auto"/>
          <w:highlight w:val="none"/>
        </w:rPr>
      </w:pPr>
      <w:r>
        <w:rPr>
          <w:rFonts w:hint="eastAsia"/>
          <w:color w:val="auto"/>
          <w:highlight w:val="none"/>
        </w:rPr>
        <w:t>投标人基本情况表；</w:t>
      </w:r>
    </w:p>
    <w:p>
      <w:pPr>
        <w:pStyle w:val="37"/>
        <w:ind w:firstLine="480"/>
        <w:rPr>
          <w:color w:val="auto"/>
          <w:highlight w:val="none"/>
        </w:rPr>
      </w:pPr>
      <w:r>
        <w:rPr>
          <w:rFonts w:hint="eastAsia"/>
          <w:color w:val="auto"/>
          <w:highlight w:val="none"/>
        </w:rPr>
        <w:t>商务应答表；</w:t>
      </w:r>
    </w:p>
    <w:p>
      <w:pPr>
        <w:pStyle w:val="37"/>
        <w:ind w:firstLine="480"/>
        <w:rPr>
          <w:color w:val="auto"/>
          <w:highlight w:val="none"/>
        </w:rPr>
      </w:pPr>
      <w:r>
        <w:rPr>
          <w:rFonts w:hint="eastAsia"/>
          <w:color w:val="auto"/>
          <w:highlight w:val="none"/>
        </w:rPr>
        <w:t>招标代理服务费承诺函；</w:t>
      </w:r>
    </w:p>
    <w:p>
      <w:pPr>
        <w:pStyle w:val="37"/>
        <w:ind w:firstLine="480"/>
        <w:rPr>
          <w:color w:val="auto"/>
          <w:highlight w:val="none"/>
        </w:rPr>
      </w:pPr>
      <w:r>
        <w:rPr>
          <w:rFonts w:hint="eastAsia"/>
          <w:color w:val="auto"/>
          <w:highlight w:val="none"/>
        </w:rPr>
        <w:t>投标人认为应当提供的其他证明材料；</w:t>
      </w:r>
    </w:p>
    <w:p>
      <w:pPr>
        <w:pStyle w:val="37"/>
        <w:ind w:firstLine="480"/>
        <w:rPr>
          <w:color w:val="auto"/>
          <w:highlight w:val="none"/>
        </w:rPr>
      </w:pPr>
      <w:r>
        <w:rPr>
          <w:rFonts w:hint="eastAsia"/>
          <w:color w:val="auto"/>
          <w:highlight w:val="none"/>
        </w:rPr>
        <w:t>招标文件规定的其他商务要求。</w:t>
      </w:r>
    </w:p>
    <w:bookmarkEnd w:id="379"/>
    <w:bookmarkEnd w:id="380"/>
    <w:bookmarkEnd w:id="381"/>
    <w:bookmarkEnd w:id="382"/>
    <w:bookmarkEnd w:id="383"/>
    <w:bookmarkEnd w:id="384"/>
    <w:bookmarkEnd w:id="385"/>
    <w:p>
      <w:pPr>
        <w:pStyle w:val="36"/>
        <w:ind w:firstLine="482"/>
        <w:rPr>
          <w:b/>
          <w:bCs/>
          <w:color w:val="auto"/>
          <w:highlight w:val="none"/>
        </w:rPr>
      </w:pPr>
      <w:r>
        <w:rPr>
          <w:rFonts w:hint="eastAsia"/>
          <w:b/>
          <w:bCs/>
          <w:color w:val="auto"/>
          <w:highlight w:val="none"/>
        </w:rPr>
        <w:t xml:space="preserve"> 售后服务</w:t>
      </w:r>
    </w:p>
    <w:p>
      <w:pPr>
        <w:pStyle w:val="35"/>
        <w:rPr>
          <w:color w:val="auto"/>
          <w:highlight w:val="none"/>
        </w:rPr>
      </w:pPr>
      <w:r>
        <w:rPr>
          <w:rFonts w:hint="eastAsia"/>
          <w:color w:val="auto"/>
          <w:highlight w:val="none"/>
        </w:rPr>
        <w:t>投标人按照招标文件中售后服务要求作出的积极响应和承诺。</w:t>
      </w:r>
    </w:p>
    <w:p>
      <w:pPr>
        <w:pStyle w:val="36"/>
        <w:ind w:firstLine="482"/>
        <w:rPr>
          <w:b/>
          <w:bCs/>
          <w:color w:val="auto"/>
          <w:highlight w:val="none"/>
        </w:rPr>
      </w:pPr>
      <w:r>
        <w:rPr>
          <w:rFonts w:hint="eastAsia"/>
          <w:b/>
          <w:bCs/>
          <w:color w:val="auto"/>
          <w:highlight w:val="none"/>
        </w:rPr>
        <w:t xml:space="preserve"> 其他部分</w:t>
      </w:r>
    </w:p>
    <w:p>
      <w:pPr>
        <w:pStyle w:val="35"/>
        <w:rPr>
          <w:color w:val="auto"/>
          <w:highlight w:val="none"/>
        </w:rPr>
      </w:pPr>
      <w:r>
        <w:rPr>
          <w:rFonts w:hint="eastAsia"/>
          <w:color w:val="auto"/>
          <w:highlight w:val="none"/>
        </w:rPr>
        <w:t>投标人按照招标文件要求作出的其他应答和承诺。</w:t>
      </w:r>
    </w:p>
    <w:p>
      <w:pPr>
        <w:pStyle w:val="53"/>
        <w:ind w:firstLine="482"/>
        <w:rPr>
          <w:color w:val="auto"/>
          <w:highlight w:val="none"/>
        </w:rPr>
      </w:pPr>
      <w:r>
        <w:rPr>
          <w:rFonts w:hint="eastAsia"/>
          <w:color w:val="auto"/>
          <w:highlight w:val="none"/>
        </w:rPr>
        <w:t>注：以上1、2要求提供的证明材料均需加盖投标人电子签章，若未加盖投标人电子签章的，则该证明材料涉及的评分项不予评分，涉及资格条件或实质性要求的评审项按未通过处理。</w:t>
      </w:r>
    </w:p>
    <w:p>
      <w:pPr>
        <w:pStyle w:val="35"/>
        <w:ind w:firstLine="482"/>
        <w:rPr>
          <w:b/>
          <w:bCs/>
          <w:color w:val="auto"/>
          <w:highlight w:val="none"/>
        </w:rPr>
      </w:pPr>
      <w:r>
        <w:rPr>
          <w:rFonts w:hint="eastAsia"/>
          <w:b/>
          <w:bCs/>
          <w:color w:val="auto"/>
          <w:highlight w:val="none"/>
        </w:rPr>
        <w:t>若综合评分明细表和技术参数中需要提供的证明材料上述未提及，投标人根据综合评分明细表和技术参数要求提供相关的证明材料。</w:t>
      </w:r>
    </w:p>
    <w:p>
      <w:pPr>
        <w:pStyle w:val="33"/>
        <w:ind w:firstLine="482"/>
        <w:rPr>
          <w:color w:val="auto"/>
          <w:highlight w:val="none"/>
        </w:rPr>
      </w:pPr>
      <w:bookmarkStart w:id="386" w:name="_Toc308084590"/>
      <w:bookmarkStart w:id="387" w:name="_Toc308188145"/>
      <w:bookmarkStart w:id="388" w:name="_Toc23655"/>
      <w:bookmarkStart w:id="389" w:name="_Toc319439893"/>
      <w:bookmarkStart w:id="390" w:name="_Toc4288"/>
      <w:bookmarkStart w:id="391" w:name="_Toc15763"/>
      <w:bookmarkStart w:id="392" w:name="_Toc309897508"/>
      <w:bookmarkStart w:id="393" w:name="_Toc319440135"/>
      <w:bookmarkStart w:id="394" w:name="_Toc3096"/>
      <w:bookmarkStart w:id="395" w:name="_Toc32103"/>
      <w:bookmarkStart w:id="396" w:name="_Toc12470"/>
      <w:bookmarkStart w:id="397" w:name="_Toc31136"/>
      <w:bookmarkStart w:id="398" w:name="_Toc1874"/>
      <w:bookmarkStart w:id="399" w:name="_Toc6789"/>
      <w:bookmarkStart w:id="400" w:name="_Toc31194"/>
      <w:bookmarkStart w:id="401" w:name="_Toc26967"/>
      <w:bookmarkStart w:id="402" w:name="_Toc307564845"/>
      <w:bookmarkStart w:id="403" w:name="_Toc327196279"/>
      <w:bookmarkStart w:id="404" w:name="_Toc32288"/>
      <w:r>
        <w:rPr>
          <w:rFonts w:hint="eastAsia"/>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olor w:val="auto"/>
          <w:highlight w:val="none"/>
        </w:rPr>
        <w:tab/>
      </w:r>
    </w:p>
    <w:p>
      <w:pPr>
        <w:pStyle w:val="34"/>
        <w:ind w:firstLine="480"/>
        <w:rPr>
          <w:color w:val="auto"/>
          <w:highlight w:val="none"/>
        </w:rPr>
      </w:pPr>
      <w:r>
        <w:rPr>
          <w:rFonts w:hint="eastAsia"/>
          <w:color w:val="auto"/>
          <w:highlight w:val="none"/>
        </w:rPr>
        <w:t>投标人应按照招标文件第三章中提供的“投标文件格式”填写相关内容。</w:t>
      </w:r>
    </w:p>
    <w:p>
      <w:pPr>
        <w:pStyle w:val="34"/>
        <w:ind w:firstLine="480"/>
        <w:rPr>
          <w:color w:val="auto"/>
          <w:highlight w:val="none"/>
        </w:rPr>
      </w:pPr>
      <w:r>
        <w:rPr>
          <w:rFonts w:hint="eastAsia"/>
          <w:color w:val="auto"/>
          <w:highlight w:val="none"/>
        </w:rPr>
        <w:t>对于没有格式要求的由投标人自行编写。</w:t>
      </w:r>
    </w:p>
    <w:p>
      <w:pPr>
        <w:pStyle w:val="33"/>
        <w:ind w:firstLine="482"/>
        <w:rPr>
          <w:color w:val="auto"/>
          <w:highlight w:val="none"/>
        </w:rPr>
      </w:pPr>
      <w:bookmarkStart w:id="405" w:name="_Toc309897509"/>
      <w:bookmarkStart w:id="406" w:name="_Toc307564846"/>
      <w:bookmarkStart w:id="407" w:name="_Toc4102"/>
      <w:bookmarkStart w:id="408" w:name="_Toc21967"/>
      <w:bookmarkStart w:id="409" w:name="_Toc183582223"/>
      <w:bookmarkStart w:id="410" w:name="_Toc16016"/>
      <w:bookmarkStart w:id="411" w:name="_Toc308188146"/>
      <w:bookmarkStart w:id="412" w:name="_Toc319439894"/>
      <w:bookmarkStart w:id="413" w:name="_Toc31944"/>
      <w:bookmarkStart w:id="414" w:name="_Toc14436"/>
      <w:bookmarkStart w:id="415" w:name="_Toc307501103"/>
      <w:bookmarkStart w:id="416" w:name="_Toc29891"/>
      <w:bookmarkStart w:id="417" w:name="_Toc14382"/>
      <w:bookmarkStart w:id="418" w:name="_Toc308084591"/>
      <w:bookmarkStart w:id="419" w:name="_Toc21884"/>
      <w:bookmarkStart w:id="420" w:name="_Toc319440136"/>
      <w:bookmarkStart w:id="421" w:name="_Toc327196280"/>
      <w:bookmarkStart w:id="422" w:name="_Toc183682360"/>
      <w:bookmarkStart w:id="423" w:name="_Toc27418"/>
      <w:bookmarkStart w:id="424" w:name="_Toc217446050"/>
      <w:bookmarkStart w:id="425" w:name="_Toc20642"/>
      <w:bookmarkStart w:id="426" w:name="_Toc18078"/>
      <w:bookmarkStart w:id="427" w:name="_Toc2456"/>
      <w:r>
        <w:rPr>
          <w:rFonts w:hint="eastAsia"/>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4"/>
        <w:numPr>
          <w:ilvl w:val="3"/>
          <w:numId w:val="0"/>
        </w:numPr>
        <w:ind w:left="480" w:leftChars="200"/>
        <w:rPr>
          <w:color w:val="auto"/>
          <w:highlight w:val="none"/>
        </w:rPr>
      </w:pPr>
      <w:bookmarkStart w:id="428" w:name="_Toc307564847"/>
      <w:bookmarkStart w:id="429" w:name="_Toc319439895"/>
      <w:bookmarkStart w:id="430" w:name="_Toc26011"/>
      <w:bookmarkStart w:id="431" w:name="_Toc307501104"/>
      <w:bookmarkStart w:id="432" w:name="_Toc29434"/>
      <w:bookmarkStart w:id="433" w:name="_Toc319440137"/>
      <w:bookmarkStart w:id="434" w:name="_Toc308188147"/>
      <w:bookmarkStart w:id="435" w:name="_Toc27589"/>
      <w:bookmarkStart w:id="436" w:name="_Toc217446051"/>
      <w:bookmarkStart w:id="437" w:name="_Toc17857"/>
      <w:bookmarkStart w:id="438" w:name="_Toc9356"/>
      <w:bookmarkStart w:id="439" w:name="_Toc31284"/>
      <w:bookmarkStart w:id="440" w:name="_Toc13956"/>
      <w:bookmarkStart w:id="441" w:name="_Toc21338"/>
      <w:bookmarkStart w:id="442" w:name="_Toc309897510"/>
      <w:bookmarkStart w:id="443" w:name="_Toc308084592"/>
      <w:bookmarkStart w:id="444" w:name="_Toc183582224"/>
      <w:bookmarkStart w:id="445" w:name="_Toc327196281"/>
      <w:bookmarkStart w:id="446" w:name="_Toc183682361"/>
      <w:r>
        <w:rPr>
          <w:rFonts w:hint="eastAsia"/>
          <w:color w:val="auto"/>
          <w:highlight w:val="none"/>
        </w:rPr>
        <w:t>本项目不收取投标保证金。</w:t>
      </w:r>
    </w:p>
    <w:p>
      <w:pPr>
        <w:pStyle w:val="33"/>
        <w:ind w:firstLine="482"/>
        <w:rPr>
          <w:color w:val="auto"/>
          <w:highlight w:val="none"/>
        </w:rPr>
      </w:pPr>
      <w:bookmarkStart w:id="447" w:name="_Toc20243"/>
      <w:bookmarkStart w:id="448" w:name="_Toc4505"/>
      <w:bookmarkStart w:id="449" w:name="_Toc30115"/>
      <w:bookmarkStart w:id="450" w:name="_Toc19115"/>
      <w:r>
        <w:rPr>
          <w:rFonts w:hint="eastAsia"/>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olor w:val="auto"/>
          <w:highlight w:val="none"/>
        </w:rPr>
        <w:t>(实质性要求</w:t>
      </w:r>
      <w:bookmarkEnd w:id="447"/>
      <w:r>
        <w:rPr>
          <w:rFonts w:hint="eastAsia"/>
          <w:color w:val="auto"/>
          <w:highlight w:val="none"/>
        </w:rPr>
        <w:t>)</w:t>
      </w:r>
      <w:bookmarkEnd w:id="448"/>
      <w:bookmarkEnd w:id="449"/>
      <w:bookmarkEnd w:id="450"/>
    </w:p>
    <w:p>
      <w:pPr>
        <w:pStyle w:val="34"/>
        <w:ind w:firstLine="480"/>
        <w:rPr>
          <w:color w:val="auto"/>
          <w:highlight w:val="none"/>
        </w:rPr>
      </w:pPr>
      <w:r>
        <w:rPr>
          <w:rFonts w:hint="eastAsia"/>
          <w:color w:val="auto"/>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34"/>
        <w:ind w:firstLine="480"/>
        <w:rPr>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4"/>
        <w:ind w:firstLine="480"/>
        <w:rPr>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33"/>
        <w:ind w:firstLine="482"/>
        <w:rPr>
          <w:rFonts w:cs="宋体"/>
          <w:color w:val="auto"/>
          <w:highlight w:val="none"/>
        </w:rPr>
      </w:pPr>
      <w:bookmarkStart w:id="451" w:name="_Toc28724"/>
      <w:bookmarkStart w:id="452" w:name="_Toc20288"/>
      <w:bookmarkStart w:id="453" w:name="_Toc17082"/>
      <w:bookmarkStart w:id="454" w:name="_Toc29183"/>
      <w:bookmarkStart w:id="455" w:name="_Toc308188149"/>
      <w:bookmarkStart w:id="456" w:name="_Toc89075877"/>
      <w:bookmarkStart w:id="457" w:name="_Toc13153"/>
      <w:bookmarkStart w:id="458" w:name="_Toc27443"/>
      <w:bookmarkStart w:id="459" w:name="_Toc5019"/>
      <w:bookmarkStart w:id="460" w:name="_Toc183582226"/>
      <w:bookmarkStart w:id="461" w:name="_Toc19635"/>
      <w:bookmarkStart w:id="462" w:name="_Toc327196283"/>
      <w:bookmarkStart w:id="463" w:name="_Toc23619"/>
      <w:bookmarkStart w:id="464" w:name="_Toc309897512"/>
      <w:bookmarkStart w:id="465" w:name="_Toc319440139"/>
      <w:bookmarkStart w:id="466" w:name="_Toc307501106"/>
      <w:bookmarkStart w:id="467" w:name="_Toc308084594"/>
      <w:bookmarkStart w:id="468" w:name="_Toc217446053"/>
      <w:bookmarkStart w:id="469" w:name="_Toc23675"/>
      <w:bookmarkStart w:id="470" w:name="_Toc10555"/>
      <w:bookmarkStart w:id="471" w:name="_Toc319439897"/>
      <w:bookmarkStart w:id="472" w:name="_Toc17010"/>
      <w:bookmarkStart w:id="473" w:name="_Toc77400781"/>
      <w:bookmarkStart w:id="474" w:name="_Toc183682363"/>
      <w:bookmarkStart w:id="475" w:name="_Toc307564849"/>
      <w:bookmarkStart w:id="476" w:name="_Toc16752"/>
      <w:bookmarkStart w:id="477" w:name="_Toc6805"/>
      <w:r>
        <w:rPr>
          <w:rFonts w:hint="eastAsia" w:cs="宋体"/>
          <w:color w:val="auto"/>
          <w:highlight w:val="none"/>
        </w:rPr>
        <w:t>投标文件的制作和签章、加密</w:t>
      </w:r>
      <w:bookmarkEnd w:id="451"/>
      <w:bookmarkEnd w:id="452"/>
      <w:bookmarkEnd w:id="453"/>
      <w:bookmarkEnd w:id="454"/>
    </w:p>
    <w:p>
      <w:pPr>
        <w:pStyle w:val="34"/>
        <w:ind w:firstLine="480"/>
        <w:rPr>
          <w:rFonts w:cs="宋体"/>
          <w:color w:val="auto"/>
          <w:highlight w:val="none"/>
        </w:rPr>
      </w:pPr>
      <w:r>
        <w:rPr>
          <w:rFonts w:hint="eastAsia" w:cs="宋体"/>
          <w:color w:val="auto"/>
          <w:highlight w:val="none"/>
        </w:rPr>
        <w:t>投标文件应根据招标文件的要求进行制作，投标文件分《资格、资质性及其他类似效力投标文件》、《其他投标文件》两部分。</w:t>
      </w:r>
    </w:p>
    <w:p>
      <w:pPr>
        <w:pStyle w:val="34"/>
        <w:ind w:firstLine="480"/>
        <w:rPr>
          <w:rFonts w:cs="宋体"/>
          <w:color w:val="auto"/>
          <w:highlight w:val="none"/>
        </w:rPr>
      </w:pPr>
      <w:r>
        <w:rPr>
          <w:rFonts w:hint="eastAsia" w:cs="宋体"/>
          <w:color w:val="auto"/>
          <w:highlight w:val="none"/>
        </w:rPr>
        <w:t>资格、资质性及其他类似效力投标文件用于采购人或采购代理机构对投标人进行资格审查，其他投标文件用于评标委员会评审。</w:t>
      </w:r>
    </w:p>
    <w:p>
      <w:pPr>
        <w:pStyle w:val="34"/>
        <w:ind w:firstLine="480"/>
        <w:rPr>
          <w:rFonts w:cs="宋体"/>
          <w:color w:val="auto"/>
          <w:highlight w:val="none"/>
        </w:rPr>
      </w:pPr>
      <w:r>
        <w:rPr>
          <w:rFonts w:hint="eastAsia" w:cs="宋体"/>
          <w:color w:val="auto"/>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color w:val="auto"/>
          <w:highlight w:val="none"/>
        </w:rPr>
        <w:t>(实质性要求)</w:t>
      </w:r>
      <w:r>
        <w:rPr>
          <w:rFonts w:hint="eastAsia" w:cs="宋体"/>
          <w:color w:val="auto"/>
          <w:highlight w:val="none"/>
        </w:rPr>
        <w:t>。</w:t>
      </w:r>
    </w:p>
    <w:p>
      <w:pPr>
        <w:pStyle w:val="34"/>
        <w:ind w:firstLine="480"/>
        <w:rPr>
          <w:rFonts w:cs="宋体"/>
          <w:color w:val="auto"/>
          <w:highlight w:val="none"/>
        </w:rPr>
      </w:pPr>
      <w:r>
        <w:rPr>
          <w:rFonts w:hint="eastAsia" w:cs="宋体"/>
          <w:color w:val="auto"/>
          <w:highlight w:val="none"/>
        </w:rPr>
        <w:t>投标文件每页均应加盖投标人(法定名称)电子签章，不得使用投标人专用章(如经济合同章、投标专用章等)或下属单位印章代替</w:t>
      </w:r>
      <w:r>
        <w:rPr>
          <w:rFonts w:hint="eastAsia" w:cs="宋体"/>
          <w:b/>
          <w:bCs/>
          <w:color w:val="auto"/>
          <w:highlight w:val="none"/>
        </w:rPr>
        <w:t>(实质性要求)</w:t>
      </w:r>
      <w:r>
        <w:rPr>
          <w:rFonts w:hint="eastAsia" w:cs="宋体"/>
          <w:color w:val="auto"/>
          <w:highlight w:val="none"/>
        </w:rPr>
        <w:t>。</w:t>
      </w:r>
    </w:p>
    <w:p>
      <w:pPr>
        <w:pStyle w:val="34"/>
        <w:ind w:firstLine="480"/>
        <w:rPr>
          <w:rFonts w:cs="宋体"/>
          <w:color w:val="auto"/>
          <w:highlight w:val="none"/>
        </w:rPr>
      </w:pPr>
      <w:r>
        <w:rPr>
          <w:rFonts w:hint="eastAsia" w:cs="宋体"/>
          <w:color w:val="auto"/>
          <w:highlight w:val="none"/>
        </w:rPr>
        <w:t>投标人应使用本企业CA数字证书对投标文件进行加密</w:t>
      </w:r>
      <w:r>
        <w:rPr>
          <w:rFonts w:hint="eastAsia" w:cs="宋体"/>
          <w:b/>
          <w:bCs/>
          <w:color w:val="auto"/>
          <w:highlight w:val="none"/>
        </w:rPr>
        <w:t>(实质性要求)</w:t>
      </w:r>
      <w:r>
        <w:rPr>
          <w:rFonts w:hint="eastAsia" w:cs="宋体"/>
          <w:color w:val="auto"/>
          <w:highlight w:val="none"/>
        </w:rPr>
        <w:t>。</w:t>
      </w:r>
    </w:p>
    <w:p>
      <w:pPr>
        <w:pStyle w:val="34"/>
        <w:ind w:firstLine="480"/>
        <w:rPr>
          <w:rFonts w:cs="宋体"/>
          <w:color w:val="auto"/>
          <w:highlight w:val="none"/>
        </w:rPr>
      </w:pPr>
      <w:r>
        <w:rPr>
          <w:rFonts w:hint="eastAsia" w:cs="宋体"/>
          <w:color w:val="auto"/>
          <w:highlight w:val="none"/>
        </w:rPr>
        <w:t>招标文件若有修改，投标人根据修改后的招标文件制作或修改并递交投标文件。</w:t>
      </w:r>
    </w:p>
    <w:p>
      <w:pPr>
        <w:pStyle w:val="34"/>
        <w:ind w:firstLine="480"/>
        <w:rPr>
          <w:rFonts w:cs="宋体"/>
          <w:color w:val="auto"/>
          <w:highlight w:val="none"/>
        </w:rPr>
      </w:pPr>
      <w:r>
        <w:rPr>
          <w:rFonts w:hint="eastAsia" w:cs="宋体"/>
          <w:color w:val="auto"/>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color w:val="auto"/>
          <w:highlight w:val="none"/>
        </w:rPr>
        <w:t>(实质性要求)</w:t>
      </w:r>
      <w:r>
        <w:rPr>
          <w:rFonts w:hint="eastAsia" w:cs="宋体"/>
          <w:color w:val="auto"/>
          <w:highlight w:val="none"/>
        </w:rPr>
        <w:t>。</w:t>
      </w:r>
    </w:p>
    <w:p>
      <w:pPr>
        <w:pStyle w:val="34"/>
        <w:ind w:firstLine="480"/>
        <w:rPr>
          <w:rFonts w:cs="宋体"/>
          <w:color w:val="auto"/>
          <w:highlight w:val="none"/>
        </w:rPr>
      </w:pPr>
      <w:r>
        <w:rPr>
          <w:rFonts w:hint="eastAsia" w:cs="宋体"/>
          <w:color w:val="auto"/>
          <w:highlight w:val="none"/>
        </w:rPr>
        <w:t>招标文件中要求投标人投标时提供的复印件等证明材料须清晰可辨，包含提供原件的影印件或复印件。</w:t>
      </w:r>
    </w:p>
    <w:p>
      <w:pPr>
        <w:pStyle w:val="34"/>
        <w:ind w:firstLine="480"/>
        <w:rPr>
          <w:rFonts w:cs="宋体"/>
          <w:color w:val="auto"/>
          <w:highlight w:val="none"/>
        </w:rPr>
      </w:pPr>
      <w:r>
        <w:rPr>
          <w:rFonts w:hint="eastAsia" w:cs="宋体"/>
          <w:color w:val="auto"/>
          <w:highlight w:val="none"/>
        </w:rPr>
        <w:t>投标文件编制过程中无须提供证明材料的项，上传空白页即可，不对本项上传的材料作相关审查。</w:t>
      </w:r>
    </w:p>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Pr>
        <w:pStyle w:val="33"/>
        <w:ind w:firstLine="482"/>
        <w:rPr>
          <w:rFonts w:cs="宋体"/>
          <w:color w:val="auto"/>
          <w:highlight w:val="none"/>
        </w:rPr>
      </w:pPr>
      <w:bookmarkStart w:id="478" w:name="_Toc183582227"/>
      <w:bookmarkStart w:id="479" w:name="_Toc183682364"/>
      <w:bookmarkStart w:id="480" w:name="_Toc308188150"/>
      <w:bookmarkStart w:id="481" w:name="_Toc5755"/>
      <w:bookmarkStart w:id="482" w:name="_Toc319439898"/>
      <w:bookmarkStart w:id="483" w:name="_Toc217446054"/>
      <w:bookmarkStart w:id="484" w:name="_Toc54"/>
      <w:bookmarkStart w:id="485" w:name="_Toc20273"/>
      <w:bookmarkStart w:id="486" w:name="_Toc5768"/>
      <w:bookmarkStart w:id="487" w:name="_Toc7231"/>
      <w:bookmarkStart w:id="488" w:name="_Toc25113"/>
      <w:bookmarkStart w:id="489" w:name="_Toc9965"/>
      <w:bookmarkStart w:id="490" w:name="_Toc2092"/>
      <w:bookmarkStart w:id="491" w:name="_Toc30361"/>
      <w:bookmarkStart w:id="492" w:name="_Toc307501107"/>
      <w:bookmarkStart w:id="493" w:name="_Toc327196284"/>
      <w:bookmarkStart w:id="494" w:name="_Toc25947"/>
      <w:bookmarkStart w:id="495" w:name="_Toc308084595"/>
      <w:bookmarkStart w:id="496" w:name="_Toc17027"/>
      <w:bookmarkStart w:id="497" w:name="_Toc27234"/>
      <w:bookmarkStart w:id="498" w:name="_Toc319440140"/>
      <w:bookmarkStart w:id="499" w:name="_Toc19406"/>
      <w:bookmarkStart w:id="500" w:name="_Toc307564850"/>
      <w:bookmarkStart w:id="501" w:name="_Toc309897513"/>
      <w:r>
        <w:rPr>
          <w:rFonts w:hint="eastAsia" w:cs="宋体"/>
          <w:color w:val="auto"/>
          <w:highlight w:val="none"/>
        </w:rPr>
        <w:t>投标文件的</w:t>
      </w:r>
      <w:bookmarkEnd w:id="478"/>
      <w:bookmarkEnd w:id="479"/>
      <w:r>
        <w:rPr>
          <w:rFonts w:hint="eastAsia" w:cs="宋体"/>
          <w:color w:val="auto"/>
          <w:highlight w:val="none"/>
        </w:rPr>
        <w:t>递交</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34"/>
        <w:ind w:firstLine="480"/>
        <w:rPr>
          <w:rFonts w:cs="宋体"/>
          <w:color w:val="auto"/>
          <w:highlight w:val="none"/>
        </w:rPr>
      </w:pPr>
      <w:bookmarkStart w:id="502" w:name="_Toc183582228"/>
      <w:bookmarkStart w:id="503" w:name="_Toc183682365"/>
      <w:bookmarkStart w:id="504" w:name="_Toc319439899"/>
      <w:bookmarkStart w:id="505" w:name="_Toc26118"/>
      <w:bookmarkStart w:id="506" w:name="_Toc3865"/>
      <w:bookmarkStart w:id="507" w:name="_Toc319440141"/>
      <w:bookmarkStart w:id="508" w:name="_Toc7313"/>
      <w:bookmarkStart w:id="509" w:name="_Toc23816"/>
      <w:bookmarkStart w:id="510" w:name="_Toc327196285"/>
      <w:bookmarkStart w:id="511" w:name="_Toc307564851"/>
      <w:bookmarkStart w:id="512" w:name="_Toc308188151"/>
      <w:bookmarkStart w:id="513" w:name="_Toc217446055"/>
      <w:bookmarkStart w:id="514" w:name="_Toc307501108"/>
      <w:bookmarkStart w:id="515" w:name="_Toc17045"/>
      <w:bookmarkStart w:id="516" w:name="_Toc12138"/>
      <w:bookmarkStart w:id="517" w:name="_Toc4178"/>
      <w:bookmarkStart w:id="518" w:name="_Toc1451"/>
      <w:bookmarkStart w:id="519" w:name="_Toc15674"/>
      <w:bookmarkStart w:id="520" w:name="_Toc308084596"/>
      <w:bookmarkStart w:id="521" w:name="_Toc22634"/>
      <w:bookmarkStart w:id="522" w:name="_Toc6140"/>
      <w:bookmarkStart w:id="523" w:name="_Toc309897514"/>
      <w:r>
        <w:rPr>
          <w:rFonts w:hint="eastAsia" w:cs="宋体"/>
          <w:color w:val="auto"/>
          <w:highlight w:val="none"/>
        </w:rPr>
        <w:t>投标人应当在投标文件递交截止时间前，将生成的已加密的电子投标文件成功递交至“政府采购云平台”，上传前须对电子投标文件每页是否都有电子签章等进行核对。</w:t>
      </w:r>
    </w:p>
    <w:p>
      <w:pPr>
        <w:pStyle w:val="34"/>
        <w:ind w:firstLine="480"/>
        <w:rPr>
          <w:rFonts w:cs="宋体"/>
          <w:color w:val="auto"/>
          <w:highlight w:val="none"/>
        </w:rPr>
      </w:pPr>
      <w:r>
        <w:rPr>
          <w:rFonts w:hint="eastAsia" w:cs="宋体"/>
          <w:color w:val="auto"/>
          <w:highlight w:val="none"/>
        </w:rPr>
        <w:t>投标人应充分考虑递交文件的不可预见因素，在投标截止时间后将无法递交。</w:t>
      </w:r>
    </w:p>
    <w:p>
      <w:pPr>
        <w:pStyle w:val="33"/>
        <w:ind w:firstLine="482"/>
        <w:rPr>
          <w:rFonts w:cs="宋体"/>
          <w:color w:val="auto"/>
          <w:highlight w:val="none"/>
        </w:rPr>
      </w:pPr>
      <w:bookmarkStart w:id="524" w:name="_Toc31473"/>
      <w:bookmarkStart w:id="525" w:name="_Toc10414"/>
      <w:r>
        <w:rPr>
          <w:rFonts w:hint="eastAsia" w:cs="宋体"/>
          <w:color w:val="auto"/>
          <w:highlight w:val="none"/>
        </w:rPr>
        <w:t>投标文件的修改和撤</w:t>
      </w:r>
      <w:bookmarkEnd w:id="502"/>
      <w:bookmarkEnd w:id="503"/>
      <w:r>
        <w:rPr>
          <w:rFonts w:hint="eastAsia" w:cs="宋体"/>
          <w:color w:val="auto"/>
          <w:highlight w:val="none"/>
        </w:rPr>
        <w:t>回</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34"/>
        <w:ind w:firstLine="480"/>
        <w:rPr>
          <w:rFonts w:cs="宋体"/>
          <w:color w:val="auto"/>
          <w:highlight w:val="none"/>
        </w:rPr>
      </w:pPr>
      <w:r>
        <w:rPr>
          <w:rFonts w:hint="eastAsia" w:cs="宋体"/>
          <w:color w:val="auto"/>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34"/>
        <w:ind w:firstLine="480"/>
        <w:rPr>
          <w:rFonts w:cs="宋体"/>
          <w:color w:val="auto"/>
          <w:highlight w:val="none"/>
        </w:rPr>
      </w:pPr>
      <w:r>
        <w:rPr>
          <w:rFonts w:hint="eastAsia" w:cs="宋体"/>
          <w:color w:val="auto"/>
          <w:highlight w:val="none"/>
        </w:rPr>
        <w:t>投标截止时间后，投标人不得对其递交的投标文件做任何补充、修改。</w:t>
      </w:r>
    </w:p>
    <w:p>
      <w:pPr>
        <w:pStyle w:val="33"/>
        <w:ind w:firstLine="482"/>
        <w:rPr>
          <w:rFonts w:cs="宋体"/>
          <w:color w:val="auto"/>
          <w:highlight w:val="none"/>
        </w:rPr>
      </w:pPr>
      <w:bookmarkStart w:id="526" w:name="_Toc27336"/>
      <w:bookmarkStart w:id="527" w:name="_Toc1032"/>
      <w:bookmarkStart w:id="528" w:name="_Toc12026"/>
      <w:bookmarkStart w:id="529" w:name="_Toc5718"/>
      <w:r>
        <w:rPr>
          <w:rFonts w:hint="eastAsia" w:cs="宋体"/>
          <w:color w:val="auto"/>
          <w:highlight w:val="none"/>
        </w:rPr>
        <w:t>投标文件的解密</w:t>
      </w:r>
      <w:bookmarkEnd w:id="526"/>
      <w:bookmarkEnd w:id="527"/>
      <w:bookmarkEnd w:id="528"/>
      <w:bookmarkEnd w:id="529"/>
    </w:p>
    <w:p>
      <w:pPr>
        <w:pStyle w:val="34"/>
        <w:numPr>
          <w:ilvl w:val="3"/>
          <w:numId w:val="0"/>
        </w:numPr>
        <w:ind w:firstLine="480" w:firstLineChars="200"/>
        <w:rPr>
          <w:color w:val="auto"/>
          <w:highlight w:val="none"/>
        </w:rPr>
      </w:pPr>
      <w:r>
        <w:rPr>
          <w:rFonts w:hint="eastAsia" w:cs="宋体"/>
          <w:color w:val="auto"/>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50"/>
        <w:spacing w:before="120" w:after="120"/>
        <w:rPr>
          <w:color w:val="auto"/>
          <w:highlight w:val="none"/>
        </w:rPr>
      </w:pPr>
      <w:bookmarkStart w:id="530" w:name="_Toc217446056"/>
      <w:bookmarkStart w:id="531" w:name="_Toc15691"/>
      <w:bookmarkStart w:id="532" w:name="_Toc183682368"/>
      <w:bookmarkStart w:id="533" w:name="_Toc77400782"/>
      <w:bookmarkStart w:id="534" w:name="_Toc10508"/>
      <w:bookmarkStart w:id="535" w:name="_Toc89075878"/>
      <w:bookmarkStart w:id="536" w:name="_Toc21531"/>
      <w:bookmarkStart w:id="537" w:name="_Toc327196286"/>
      <w:bookmarkStart w:id="538" w:name="_Toc16817"/>
      <w:bookmarkStart w:id="539" w:name="_Toc24962"/>
      <w:bookmarkStart w:id="540" w:name="_Toc183582231"/>
      <w:r>
        <w:rPr>
          <w:rFonts w:hint="eastAsia"/>
          <w:color w:val="auto"/>
          <w:highlight w:val="none"/>
        </w:rPr>
        <w:t>开标和中标</w:t>
      </w:r>
      <w:bookmarkEnd w:id="530"/>
      <w:bookmarkEnd w:id="531"/>
      <w:bookmarkEnd w:id="532"/>
      <w:bookmarkEnd w:id="533"/>
      <w:bookmarkEnd w:id="534"/>
      <w:bookmarkEnd w:id="535"/>
      <w:bookmarkEnd w:id="536"/>
      <w:bookmarkEnd w:id="537"/>
      <w:bookmarkEnd w:id="538"/>
      <w:bookmarkEnd w:id="539"/>
      <w:bookmarkEnd w:id="540"/>
    </w:p>
    <w:p>
      <w:pPr>
        <w:pStyle w:val="33"/>
        <w:numPr>
          <w:ilvl w:val="2"/>
          <w:numId w:val="13"/>
        </w:numPr>
        <w:ind w:firstLine="482"/>
        <w:rPr>
          <w:rFonts w:cs="宋体"/>
          <w:color w:val="auto"/>
          <w:highlight w:val="none"/>
        </w:rPr>
      </w:pPr>
      <w:bookmarkStart w:id="541" w:name="_Toc29031"/>
      <w:bookmarkStart w:id="542" w:name="_Toc29493"/>
      <w:bookmarkStart w:id="543" w:name="_Toc18049"/>
      <w:bookmarkStart w:id="544" w:name="_Toc319440143"/>
      <w:bookmarkStart w:id="545" w:name="_Toc307501110"/>
      <w:bookmarkStart w:id="546" w:name="_Toc308084598"/>
      <w:bookmarkStart w:id="547" w:name="_Toc13237"/>
      <w:bookmarkStart w:id="548" w:name="_Toc327196287"/>
      <w:bookmarkStart w:id="549" w:name="_Toc19952"/>
      <w:bookmarkStart w:id="550" w:name="_Toc6289"/>
      <w:bookmarkStart w:id="551" w:name="_Toc11957"/>
      <w:bookmarkStart w:id="552" w:name="_Toc183682369"/>
      <w:bookmarkStart w:id="553" w:name="_Toc309897516"/>
      <w:bookmarkStart w:id="554" w:name="_Toc23336"/>
      <w:bookmarkStart w:id="555" w:name="_Toc23998"/>
      <w:bookmarkStart w:id="556" w:name="_Toc183582232"/>
      <w:bookmarkStart w:id="557" w:name="_Toc319439901"/>
      <w:bookmarkStart w:id="558" w:name="_Toc308188153"/>
      <w:bookmarkStart w:id="559" w:name="_Toc8915"/>
      <w:bookmarkStart w:id="560" w:name="_Toc307564853"/>
      <w:bookmarkStart w:id="561" w:name="_Toc13303"/>
      <w:bookmarkStart w:id="562" w:name="_Toc217446057"/>
      <w:bookmarkStart w:id="563" w:name="_Toc15426"/>
      <w:bookmarkStart w:id="564" w:name="_Toc2306"/>
      <w:bookmarkStart w:id="565" w:name="_Toc2276"/>
      <w:r>
        <w:rPr>
          <w:rFonts w:hint="eastAsia" w:cs="宋体"/>
          <w:color w:val="auto"/>
          <w:highlight w:val="none"/>
        </w:rPr>
        <w:t>开标</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Pr>
          <w:rFonts w:hint="eastAsia" w:cs="宋体"/>
          <w:color w:val="auto"/>
          <w:highlight w:val="none"/>
        </w:rPr>
        <w:t>及开标程序</w:t>
      </w:r>
      <w:bookmarkEnd w:id="564"/>
      <w:bookmarkEnd w:id="565"/>
    </w:p>
    <w:p>
      <w:pPr>
        <w:pStyle w:val="34"/>
        <w:numPr>
          <w:ilvl w:val="3"/>
          <w:numId w:val="14"/>
        </w:numPr>
        <w:ind w:firstLine="482"/>
        <w:rPr>
          <w:rFonts w:cs="宋体"/>
          <w:b/>
          <w:color w:val="auto"/>
          <w:highlight w:val="none"/>
        </w:rPr>
      </w:pPr>
      <w:bookmarkStart w:id="566" w:name="_Toc319440144"/>
      <w:bookmarkStart w:id="567" w:name="_Toc308188154"/>
      <w:bookmarkStart w:id="568" w:name="_Toc319439902"/>
      <w:bookmarkStart w:id="569" w:name="_Toc308084599"/>
      <w:bookmarkStart w:id="570" w:name="_Toc307564854"/>
      <w:bookmarkStart w:id="571" w:name="_Toc327196288"/>
      <w:bookmarkStart w:id="572" w:name="_Toc309897517"/>
      <w:bookmarkStart w:id="573" w:name="_Toc307501111"/>
      <w:bookmarkStart w:id="574" w:name="_Toc217446058"/>
      <w:r>
        <w:rPr>
          <w:rFonts w:hint="eastAsia" w:cs="宋体"/>
          <w:b/>
          <w:color w:val="auto"/>
          <w:highlight w:val="none"/>
        </w:rPr>
        <w:t>本项目为不见面开标项目(递交电子投标文件的投标人不足3家的，不予开标)。</w:t>
      </w:r>
    </w:p>
    <w:p>
      <w:pPr>
        <w:pStyle w:val="34"/>
        <w:numPr>
          <w:ilvl w:val="3"/>
          <w:numId w:val="14"/>
        </w:numPr>
        <w:ind w:firstLine="482"/>
        <w:rPr>
          <w:rFonts w:cs="宋体"/>
          <w:b/>
          <w:color w:val="auto"/>
          <w:highlight w:val="none"/>
        </w:rPr>
      </w:pPr>
      <w:r>
        <w:rPr>
          <w:rFonts w:hint="eastAsia" w:cs="宋体"/>
          <w:b/>
          <w:color w:val="auto"/>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34"/>
        <w:numPr>
          <w:ilvl w:val="0"/>
          <w:numId w:val="0"/>
        </w:numPr>
        <w:ind w:firstLine="482" w:firstLineChars="200"/>
        <w:rPr>
          <w:rFonts w:cs="宋体"/>
          <w:b/>
          <w:color w:val="auto"/>
          <w:highlight w:val="none"/>
        </w:rPr>
      </w:pPr>
      <w:r>
        <w:rPr>
          <w:rFonts w:hint="eastAsia" w:cs="宋体"/>
          <w:b/>
          <w:color w:val="auto"/>
          <w:highlight w:val="none"/>
        </w:rPr>
        <w:t>提示：投标人未按时登录不见面开标系统，错过开标解密时间的，由投标人自行承担不利后果。</w:t>
      </w:r>
    </w:p>
    <w:p>
      <w:pPr>
        <w:pStyle w:val="34"/>
        <w:numPr>
          <w:ilvl w:val="3"/>
          <w:numId w:val="14"/>
        </w:numPr>
        <w:ind w:firstLine="482"/>
        <w:rPr>
          <w:rFonts w:cs="宋体"/>
          <w:b/>
          <w:color w:val="auto"/>
          <w:highlight w:val="none"/>
        </w:rPr>
      </w:pPr>
      <w:r>
        <w:rPr>
          <w:rFonts w:hint="eastAsia" w:cs="宋体"/>
          <w:b/>
          <w:color w:val="auto"/>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34"/>
        <w:numPr>
          <w:ilvl w:val="3"/>
          <w:numId w:val="14"/>
        </w:numPr>
        <w:ind w:firstLine="482"/>
        <w:rPr>
          <w:rFonts w:cs="宋体"/>
          <w:b/>
          <w:color w:val="auto"/>
          <w:highlight w:val="none"/>
        </w:rPr>
      </w:pPr>
      <w:r>
        <w:rPr>
          <w:rFonts w:hint="eastAsia" w:cs="宋体"/>
          <w:b/>
          <w:color w:val="auto"/>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34"/>
        <w:numPr>
          <w:ilvl w:val="3"/>
          <w:numId w:val="14"/>
        </w:numPr>
        <w:ind w:firstLine="482"/>
        <w:rPr>
          <w:rFonts w:cs="宋体"/>
          <w:b/>
          <w:color w:val="auto"/>
          <w:highlight w:val="none"/>
        </w:rPr>
      </w:pPr>
      <w:r>
        <w:rPr>
          <w:rFonts w:hint="eastAsia" w:cs="宋体"/>
          <w:b/>
          <w:color w:val="auto"/>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34"/>
        <w:numPr>
          <w:ilvl w:val="3"/>
          <w:numId w:val="14"/>
        </w:numPr>
        <w:ind w:firstLine="482"/>
        <w:rPr>
          <w:rFonts w:cs="宋体"/>
          <w:b/>
          <w:color w:val="auto"/>
          <w:highlight w:val="none"/>
        </w:rPr>
      </w:pPr>
      <w:r>
        <w:rPr>
          <w:rFonts w:hint="eastAsia" w:cs="宋体"/>
          <w:b/>
          <w:color w:val="auto"/>
          <w:highlight w:val="none"/>
        </w:rPr>
        <w:t>因采购代理机构断电、断网、系统故障或其他不可抗力等因素导致不见面开标系统无法正常运行的，开标活动中止或延迟，待系统恢复正常后继续进行开标活动。</w:t>
      </w:r>
    </w:p>
    <w:p>
      <w:pPr>
        <w:pStyle w:val="34"/>
        <w:numPr>
          <w:ilvl w:val="3"/>
          <w:numId w:val="14"/>
        </w:numPr>
        <w:ind w:firstLine="482"/>
        <w:rPr>
          <w:rFonts w:cs="宋体"/>
          <w:b/>
          <w:color w:val="auto"/>
          <w:highlight w:val="none"/>
        </w:rPr>
      </w:pPr>
      <w:r>
        <w:rPr>
          <w:rFonts w:hint="eastAsia" w:cs="宋体"/>
          <w:b/>
          <w:color w:val="auto"/>
          <w:highlight w:val="none"/>
        </w:rPr>
        <w:t>开标、投标文件的解密详见《成都市全流程电子化采购系统操作指南——供应商版》，具体</w:t>
      </w:r>
      <w:r>
        <w:rPr>
          <w:rFonts w:hint="eastAsia" w:cs="宋体"/>
          <w:b/>
          <w:bCs/>
          <w:color w:val="auto"/>
          <w:highlight w:val="none"/>
          <w:lang w:val="zh-CN"/>
        </w:rPr>
        <w:t>以“政府采购云平台”网站发布为准。</w:t>
      </w:r>
    </w:p>
    <w:p>
      <w:pPr>
        <w:pStyle w:val="34"/>
        <w:numPr>
          <w:ilvl w:val="3"/>
          <w:numId w:val="14"/>
        </w:numPr>
        <w:ind w:firstLine="482"/>
        <w:rPr>
          <w:rFonts w:cs="宋体"/>
          <w:b/>
          <w:color w:val="auto"/>
          <w:highlight w:val="none"/>
        </w:rPr>
      </w:pPr>
      <w:r>
        <w:rPr>
          <w:rFonts w:hint="eastAsia" w:cs="宋体"/>
          <w:b/>
          <w:color w:val="auto"/>
          <w:highlight w:val="none"/>
        </w:rPr>
        <w:t>不见面开标过程中，各方主体均应遵守国家互联网有关规定，不得发表与交易活动无关的言论。</w:t>
      </w:r>
    </w:p>
    <w:bookmarkEnd w:id="566"/>
    <w:bookmarkEnd w:id="567"/>
    <w:bookmarkEnd w:id="568"/>
    <w:bookmarkEnd w:id="569"/>
    <w:bookmarkEnd w:id="570"/>
    <w:bookmarkEnd w:id="571"/>
    <w:bookmarkEnd w:id="572"/>
    <w:bookmarkEnd w:id="573"/>
    <w:bookmarkEnd w:id="574"/>
    <w:p>
      <w:pPr>
        <w:pStyle w:val="33"/>
        <w:ind w:firstLine="482"/>
        <w:rPr>
          <w:rFonts w:cs="宋体"/>
          <w:color w:val="auto"/>
          <w:highlight w:val="none"/>
        </w:rPr>
      </w:pPr>
      <w:bookmarkStart w:id="575" w:name="_Toc3217"/>
      <w:bookmarkStart w:id="576" w:name="_Toc9007"/>
      <w:bookmarkStart w:id="577" w:name="_Toc21578"/>
      <w:bookmarkStart w:id="578" w:name="_Toc183582238"/>
      <w:bookmarkStart w:id="579" w:name="_Toc183682375"/>
      <w:bookmarkStart w:id="580" w:name="_Toc319440145"/>
      <w:bookmarkStart w:id="581" w:name="_Toc13751"/>
      <w:bookmarkStart w:id="582" w:name="_Toc28123"/>
      <w:bookmarkStart w:id="583" w:name="_Toc16512"/>
      <w:bookmarkStart w:id="584" w:name="_Toc9806"/>
      <w:bookmarkStart w:id="585" w:name="_Toc8800"/>
      <w:bookmarkStart w:id="586" w:name="_Toc307564855"/>
      <w:bookmarkStart w:id="587" w:name="_Toc319439903"/>
      <w:bookmarkStart w:id="588" w:name="_Toc6332"/>
      <w:bookmarkStart w:id="589" w:name="_Toc128"/>
      <w:bookmarkStart w:id="590" w:name="_Toc327196289"/>
      <w:bookmarkStart w:id="591" w:name="_Toc309897518"/>
      <w:bookmarkStart w:id="592" w:name="_Toc489"/>
      <w:bookmarkStart w:id="593" w:name="_Toc15967"/>
      <w:bookmarkStart w:id="594" w:name="_Toc28481"/>
      <w:bookmarkStart w:id="595" w:name="_Toc307501112"/>
      <w:bookmarkStart w:id="596" w:name="_Toc308084600"/>
      <w:bookmarkStart w:id="597" w:name="_Toc217446063"/>
      <w:bookmarkStart w:id="598" w:name="_Toc308188155"/>
      <w:r>
        <w:rPr>
          <w:rFonts w:hint="eastAsia" w:cs="宋体"/>
          <w:color w:val="auto"/>
          <w:highlight w:val="none"/>
        </w:rPr>
        <w:t>开评标过程存档</w:t>
      </w:r>
      <w:bookmarkEnd w:id="575"/>
      <w:bookmarkEnd w:id="576"/>
      <w:bookmarkEnd w:id="577"/>
    </w:p>
    <w:p>
      <w:pPr>
        <w:wordWrap w:val="0"/>
        <w:topLinePunct/>
        <w:ind w:firstLine="480" w:firstLineChars="200"/>
        <w:rPr>
          <w:rFonts w:cs="宋体"/>
          <w:snapToGrid w:val="0"/>
          <w:color w:val="auto"/>
          <w:highlight w:val="none"/>
        </w:rPr>
      </w:pPr>
      <w:r>
        <w:rPr>
          <w:rFonts w:hint="eastAsia" w:cs="宋体"/>
          <w:snapToGrid w:val="0"/>
          <w:color w:val="auto"/>
          <w:highlight w:val="none"/>
        </w:rPr>
        <w:t>开标和评标过程进行全过程电子监控，并将电子监控资料存储介质留存归档。</w:t>
      </w:r>
    </w:p>
    <w:p>
      <w:pPr>
        <w:pStyle w:val="33"/>
        <w:ind w:firstLine="482"/>
        <w:rPr>
          <w:rFonts w:cs="宋体"/>
          <w:color w:val="auto"/>
          <w:highlight w:val="none"/>
        </w:rPr>
      </w:pPr>
      <w:bookmarkStart w:id="599" w:name="_Toc18836"/>
      <w:bookmarkStart w:id="600" w:name="_Toc4085"/>
      <w:bookmarkStart w:id="601" w:name="_Toc11716"/>
      <w:bookmarkStart w:id="602" w:name="_Toc32453"/>
      <w:r>
        <w:rPr>
          <w:rFonts w:hint="eastAsia" w:cs="宋体"/>
          <w:color w:val="auto"/>
          <w:highlight w:val="none"/>
        </w:rPr>
        <w:t>中标通知</w:t>
      </w:r>
      <w:bookmarkEnd w:id="578"/>
      <w:bookmarkEnd w:id="579"/>
      <w:r>
        <w:rPr>
          <w:rFonts w:hint="eastAsia" w:cs="宋体"/>
          <w:color w:val="auto"/>
          <w:highlight w:val="none"/>
        </w:rPr>
        <w:t>书</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34"/>
        <w:ind w:firstLine="480"/>
        <w:rPr>
          <w:rFonts w:cs="宋体"/>
          <w:color w:val="auto"/>
          <w:highlight w:val="none"/>
        </w:rPr>
      </w:pPr>
      <w:r>
        <w:rPr>
          <w:rFonts w:hint="eastAsia" w:cs="宋体"/>
          <w:color w:val="auto"/>
          <w:highlight w:val="none"/>
        </w:rPr>
        <w:t>中标通知书为签订政府采购合同的依据，是合同的有效组成部分。</w:t>
      </w:r>
    </w:p>
    <w:p>
      <w:pPr>
        <w:pStyle w:val="34"/>
        <w:ind w:firstLine="480"/>
        <w:rPr>
          <w:rFonts w:cs="宋体"/>
          <w:color w:val="auto"/>
          <w:highlight w:val="none"/>
        </w:rPr>
      </w:pPr>
      <w:r>
        <w:rPr>
          <w:rFonts w:hint="eastAsia" w:cs="宋体"/>
          <w:color w:val="auto"/>
          <w:highlight w:val="none"/>
        </w:rPr>
        <w:t>中标通知书对采购人和中标人均具有法律效力。中标通知书发出后，采购人改变中标结果，或者中标人无正当理由放弃中标的，应当承担相应的法律责任。</w:t>
      </w:r>
    </w:p>
    <w:p>
      <w:pPr>
        <w:pStyle w:val="34"/>
        <w:ind w:firstLine="480"/>
        <w:rPr>
          <w:rFonts w:cs="宋体"/>
          <w:color w:val="auto"/>
          <w:highlight w:val="none"/>
        </w:rPr>
      </w:pPr>
      <w:r>
        <w:rPr>
          <w:rFonts w:hint="eastAsia" w:cs="宋体"/>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34"/>
        <w:ind w:firstLine="480"/>
        <w:rPr>
          <w:color w:val="auto"/>
          <w:highlight w:val="none"/>
        </w:rPr>
      </w:pPr>
      <w:r>
        <w:rPr>
          <w:rFonts w:hint="eastAsia" w:cs="宋体"/>
          <w:color w:val="auto"/>
          <w:highlight w:val="none"/>
          <w:lang w:val="zh-CN"/>
        </w:rPr>
        <w:t>在四川政府采购网公告中标结果同时发出中标通知书，中标供应商自行登录“政府采购云平台”下载中标通知书</w:t>
      </w:r>
      <w:r>
        <w:rPr>
          <w:rFonts w:hint="eastAsia" w:cs="宋体"/>
          <w:color w:val="auto"/>
          <w:highlight w:val="none"/>
        </w:rPr>
        <w:t>。</w:t>
      </w:r>
    </w:p>
    <w:p>
      <w:pPr>
        <w:pStyle w:val="50"/>
        <w:spacing w:before="120" w:after="120"/>
        <w:rPr>
          <w:color w:val="auto"/>
          <w:highlight w:val="none"/>
        </w:rPr>
      </w:pPr>
      <w:bookmarkStart w:id="603" w:name="_Toc10354"/>
      <w:bookmarkStart w:id="604" w:name="_Toc327196290"/>
      <w:bookmarkStart w:id="605" w:name="_Toc13383"/>
      <w:bookmarkStart w:id="606" w:name="_Toc17399"/>
      <w:bookmarkStart w:id="607" w:name="_Toc30422"/>
      <w:bookmarkStart w:id="608" w:name="_Toc217446064"/>
      <w:bookmarkStart w:id="609" w:name="_Toc2685"/>
      <w:bookmarkStart w:id="610" w:name="_Toc183682377"/>
      <w:bookmarkStart w:id="611" w:name="_Toc183582240"/>
      <w:r>
        <w:rPr>
          <w:rFonts w:hint="eastAsia"/>
          <w:color w:val="auto"/>
          <w:highlight w:val="none"/>
        </w:rPr>
        <w:t>签订及履行合同和验收</w:t>
      </w:r>
      <w:bookmarkEnd w:id="603"/>
      <w:bookmarkEnd w:id="604"/>
      <w:bookmarkEnd w:id="605"/>
      <w:bookmarkEnd w:id="606"/>
      <w:bookmarkEnd w:id="607"/>
      <w:bookmarkEnd w:id="608"/>
      <w:bookmarkEnd w:id="609"/>
    </w:p>
    <w:bookmarkEnd w:id="610"/>
    <w:bookmarkEnd w:id="611"/>
    <w:p>
      <w:pPr>
        <w:pStyle w:val="33"/>
        <w:numPr>
          <w:ilvl w:val="2"/>
          <w:numId w:val="15"/>
        </w:numPr>
        <w:ind w:firstLine="482"/>
        <w:rPr>
          <w:rFonts w:cs="宋体"/>
          <w:color w:val="auto"/>
          <w:highlight w:val="none"/>
        </w:rPr>
      </w:pPr>
      <w:bookmarkStart w:id="612" w:name="_Toc5659"/>
      <w:bookmarkStart w:id="613" w:name="_Toc9464"/>
      <w:bookmarkStart w:id="614" w:name="_Toc319439905"/>
      <w:bookmarkStart w:id="615" w:name="_Toc20427"/>
      <w:bookmarkStart w:id="616" w:name="_Toc307501114"/>
      <w:bookmarkStart w:id="617" w:name="_Toc23461"/>
      <w:bookmarkStart w:id="618" w:name="_Toc24949"/>
      <w:bookmarkStart w:id="619" w:name="_Toc3130"/>
      <w:bookmarkStart w:id="620" w:name="_Toc16835"/>
      <w:bookmarkStart w:id="621" w:name="_Toc13199"/>
      <w:bookmarkStart w:id="622" w:name="_Toc327196291"/>
      <w:bookmarkStart w:id="623" w:name="_Toc217446065"/>
      <w:bookmarkStart w:id="624" w:name="_Toc27214"/>
      <w:bookmarkStart w:id="625" w:name="_Toc309897520"/>
      <w:bookmarkStart w:id="626" w:name="_Toc515"/>
      <w:bookmarkStart w:id="627" w:name="_Toc319440147"/>
      <w:bookmarkStart w:id="628" w:name="_Toc308188157"/>
      <w:bookmarkStart w:id="629" w:name="_Toc4460"/>
      <w:bookmarkStart w:id="630" w:name="_Toc25992"/>
      <w:bookmarkStart w:id="631" w:name="_Toc27989"/>
      <w:bookmarkStart w:id="632" w:name="_Toc308084602"/>
      <w:bookmarkStart w:id="633" w:name="_Toc307564857"/>
      <w:bookmarkStart w:id="634" w:name="_Toc327196297"/>
      <w:bookmarkStart w:id="635" w:name="_Toc16219"/>
      <w:bookmarkStart w:id="636" w:name="_Toc217446074"/>
      <w:bookmarkStart w:id="637" w:name="_Toc183682380"/>
      <w:bookmarkStart w:id="638" w:name="_Toc183582243"/>
      <w:r>
        <w:rPr>
          <w:rFonts w:hint="eastAsia" w:cs="宋体"/>
          <w:color w:val="auto"/>
          <w:highlight w:val="none"/>
        </w:rPr>
        <w:t>签订合同</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pPr>
        <w:pStyle w:val="34"/>
        <w:ind w:firstLine="480"/>
        <w:rPr>
          <w:rFonts w:cs="宋体"/>
          <w:color w:val="auto"/>
          <w:highlight w:val="none"/>
        </w:rPr>
      </w:pPr>
      <w:bookmarkStart w:id="639" w:name="_Toc12489"/>
      <w:bookmarkStart w:id="640" w:name="_Toc327196292"/>
      <w:bookmarkStart w:id="641" w:name="_Toc309897521"/>
      <w:bookmarkStart w:id="642" w:name="_Toc31670"/>
      <w:bookmarkStart w:id="643" w:name="_Toc12852"/>
      <w:bookmarkStart w:id="644" w:name="_Toc319440148"/>
      <w:bookmarkStart w:id="645" w:name="_Toc3758"/>
      <w:bookmarkStart w:id="646" w:name="_Toc308084603"/>
      <w:bookmarkStart w:id="647" w:name="_Toc217446066"/>
      <w:bookmarkStart w:id="648" w:name="_Toc20139"/>
      <w:bookmarkStart w:id="649" w:name="_Toc31397"/>
      <w:bookmarkStart w:id="650" w:name="_Toc307501115"/>
      <w:bookmarkStart w:id="651" w:name="_Toc307564858"/>
      <w:bookmarkStart w:id="652" w:name="_Toc319439906"/>
      <w:bookmarkStart w:id="653" w:name="_Toc308188158"/>
      <w:bookmarkStart w:id="654" w:name="_Toc25756"/>
      <w:bookmarkStart w:id="655" w:name="_Toc24196"/>
      <w:bookmarkStart w:id="656" w:name="_Toc26000"/>
      <w:bookmarkStart w:id="657" w:name="_Toc29795"/>
      <w:r>
        <w:rPr>
          <w:rFonts w:hint="eastAsia" w:cs="宋体"/>
          <w:color w:val="auto"/>
          <w:highlight w:val="none"/>
        </w:rPr>
        <w:t>中标人应在中标通知书发出之日起三十日内与采购人签订采购合同。由于中标人的原因逾期未与采购人签订采购合同的，将视为放弃中标，取消其中标资格并将按相关规定进行处理。</w:t>
      </w:r>
    </w:p>
    <w:p>
      <w:pPr>
        <w:pStyle w:val="34"/>
        <w:ind w:firstLine="480"/>
        <w:rPr>
          <w:rFonts w:cs="宋体"/>
          <w:color w:val="auto"/>
          <w:highlight w:val="none"/>
        </w:rPr>
      </w:pPr>
      <w:r>
        <w:rPr>
          <w:rFonts w:hint="eastAsia" w:cs="宋体"/>
          <w:color w:val="auto"/>
          <w:highlight w:val="none"/>
        </w:rPr>
        <w:t>政府采购合同应当包括采购人与中标人的名称和住所、标的、数量、质量、价款或者报酬、履行期限及地点和方式、验收要求、违约责任、解决争议的方法等内容。</w:t>
      </w:r>
    </w:p>
    <w:p>
      <w:pPr>
        <w:pStyle w:val="34"/>
        <w:ind w:firstLine="480"/>
        <w:rPr>
          <w:rFonts w:cs="宋体"/>
          <w:color w:val="auto"/>
          <w:highlight w:val="none"/>
        </w:rPr>
      </w:pPr>
      <w:r>
        <w:rPr>
          <w:rFonts w:hint="eastAsia" w:cs="宋体"/>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4"/>
        <w:ind w:firstLine="480"/>
        <w:rPr>
          <w:rFonts w:cs="宋体"/>
          <w:color w:val="auto"/>
          <w:highlight w:val="none"/>
        </w:rPr>
      </w:pPr>
      <w:r>
        <w:rPr>
          <w:rFonts w:hint="eastAsia" w:cs="宋体"/>
          <w:color w:val="auto"/>
          <w:highlight w:val="none"/>
        </w:rPr>
        <w:t>本项目的招标文件、中标供应商提交的投标文件、评审中的澄清、中标通知书等文件均具有法律约束力，属于合同组成部分。</w:t>
      </w:r>
    </w:p>
    <w:p>
      <w:pPr>
        <w:pStyle w:val="34"/>
        <w:ind w:firstLine="480"/>
        <w:rPr>
          <w:rFonts w:cs="宋体"/>
          <w:b/>
          <w:bCs/>
          <w:color w:val="auto"/>
          <w:highlight w:val="none"/>
        </w:rPr>
      </w:pPr>
      <w:r>
        <w:rPr>
          <w:rFonts w:hint="eastAsia" w:cs="宋体"/>
          <w:color w:val="auto"/>
          <w:highlight w:val="none"/>
        </w:rPr>
        <w:t>中标人因不可抗力原因不能履行采购合同或放弃中标的，采购人可以与排在中标人之后第一位的中标候选人签订采购合同，以此类推。</w:t>
      </w:r>
    </w:p>
    <w:p>
      <w:pPr>
        <w:pStyle w:val="33"/>
        <w:numPr>
          <w:ilvl w:val="2"/>
          <w:numId w:val="15"/>
        </w:numPr>
        <w:ind w:firstLine="482"/>
        <w:rPr>
          <w:rFonts w:cs="宋体"/>
          <w:color w:val="auto"/>
          <w:highlight w:val="none"/>
        </w:rPr>
      </w:pPr>
      <w:bookmarkStart w:id="658" w:name="_Toc28346"/>
      <w:bookmarkStart w:id="659" w:name="_Toc25943"/>
      <w:bookmarkStart w:id="660" w:name="_Toc12864"/>
      <w:r>
        <w:rPr>
          <w:rFonts w:hint="eastAsia" w:cs="宋体"/>
          <w:color w:val="auto"/>
          <w:highlight w:val="none"/>
        </w:rPr>
        <w:t>合同</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hint="eastAsia" w:cs="宋体"/>
          <w:color w:val="auto"/>
          <w:highlight w:val="none"/>
        </w:rPr>
        <w:t>分包</w:t>
      </w:r>
      <w:bookmarkEnd w:id="654"/>
      <w:bookmarkEnd w:id="655"/>
      <w:r>
        <w:rPr>
          <w:rFonts w:hint="eastAsia" w:cs="宋体"/>
          <w:color w:val="auto"/>
          <w:highlight w:val="none"/>
        </w:rPr>
        <w:t>(实质性要求)</w:t>
      </w:r>
      <w:bookmarkEnd w:id="656"/>
      <w:bookmarkEnd w:id="657"/>
      <w:bookmarkEnd w:id="658"/>
      <w:bookmarkEnd w:id="659"/>
      <w:bookmarkEnd w:id="660"/>
    </w:p>
    <w:p>
      <w:pPr>
        <w:pStyle w:val="35"/>
        <w:rPr>
          <w:color w:val="auto"/>
          <w:highlight w:val="none"/>
        </w:rPr>
      </w:pPr>
      <w:bookmarkStart w:id="661" w:name="_Toc309897522"/>
      <w:bookmarkStart w:id="662" w:name="_Toc29842"/>
      <w:bookmarkStart w:id="663" w:name="_Toc319439907"/>
      <w:bookmarkStart w:id="664" w:name="_Toc307501116"/>
      <w:bookmarkStart w:id="665" w:name="_Toc16143"/>
      <w:bookmarkStart w:id="666" w:name="_Toc319440149"/>
      <w:bookmarkStart w:id="667" w:name="_Toc29552"/>
      <w:bookmarkStart w:id="668" w:name="_Toc30827"/>
      <w:bookmarkStart w:id="669" w:name="_Toc15644"/>
      <w:bookmarkStart w:id="670" w:name="_Toc308188159"/>
      <w:bookmarkStart w:id="671" w:name="_Toc308084604"/>
      <w:bookmarkStart w:id="672" w:name="_Toc29332"/>
      <w:bookmarkStart w:id="673" w:name="_Toc19999"/>
      <w:bookmarkStart w:id="674" w:name="_Toc217446067"/>
      <w:bookmarkStart w:id="675" w:name="_Toc30954"/>
      <w:bookmarkStart w:id="676" w:name="_Toc327196293"/>
      <w:bookmarkStart w:id="677" w:name="_Toc307564859"/>
      <w:r>
        <w:rPr>
          <w:rFonts w:hint="eastAsia"/>
          <w:color w:val="auto"/>
          <w:highlight w:val="none"/>
        </w:rPr>
        <w:t>本项目不允许供应商以合同分包形式进行投标。</w:t>
      </w:r>
    </w:p>
    <w:p>
      <w:pPr>
        <w:pStyle w:val="33"/>
        <w:numPr>
          <w:ilvl w:val="2"/>
          <w:numId w:val="15"/>
        </w:numPr>
        <w:ind w:firstLine="482"/>
        <w:rPr>
          <w:rFonts w:cs="宋体"/>
          <w:color w:val="auto"/>
          <w:highlight w:val="none"/>
        </w:rPr>
      </w:pPr>
      <w:bookmarkStart w:id="678" w:name="_Toc5242"/>
      <w:bookmarkStart w:id="679" w:name="_Toc11340"/>
      <w:bookmarkStart w:id="680" w:name="_Toc28937"/>
      <w:bookmarkStart w:id="681" w:name="_Toc29526"/>
      <w:r>
        <w:rPr>
          <w:rFonts w:hint="eastAsia" w:cs="宋体"/>
          <w:color w:val="auto"/>
          <w:highlight w:val="none"/>
        </w:rPr>
        <w:t>合同转包(实质性要求)</w:t>
      </w:r>
      <w:bookmarkEnd w:id="678"/>
      <w:bookmarkEnd w:id="679"/>
      <w:bookmarkEnd w:id="680"/>
      <w:bookmarkEnd w:id="681"/>
    </w:p>
    <w:p>
      <w:pPr>
        <w:pStyle w:val="35"/>
        <w:rPr>
          <w:rFonts w:cs="宋体"/>
          <w:color w:val="auto"/>
          <w:highlight w:val="none"/>
        </w:rPr>
      </w:pPr>
      <w:r>
        <w:rPr>
          <w:rFonts w:hint="eastAsia" w:cs="宋体"/>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5"/>
        <w:rPr>
          <w:rFonts w:cs="宋体"/>
          <w:color w:val="auto"/>
          <w:highlight w:val="none"/>
        </w:rPr>
      </w:pPr>
      <w:r>
        <w:rPr>
          <w:rFonts w:hint="eastAsia" w:cs="宋体"/>
          <w:color w:val="auto"/>
          <w:highlight w:val="none"/>
        </w:rPr>
        <w:t>中标人转包的，视同拒绝履行政府采购合同义务，将依法追究法律责任。</w:t>
      </w:r>
    </w:p>
    <w:p>
      <w:pPr>
        <w:pStyle w:val="33"/>
        <w:numPr>
          <w:ilvl w:val="2"/>
          <w:numId w:val="15"/>
        </w:numPr>
        <w:ind w:firstLine="482"/>
        <w:rPr>
          <w:rFonts w:cs="宋体"/>
          <w:color w:val="auto"/>
          <w:highlight w:val="none"/>
        </w:rPr>
      </w:pPr>
      <w:bookmarkStart w:id="682" w:name="_Toc12603"/>
      <w:bookmarkStart w:id="683" w:name="_Toc11992"/>
      <w:bookmarkStart w:id="684" w:name="_Toc3789"/>
      <w:bookmarkStart w:id="685" w:name="_Toc9592"/>
      <w:bookmarkStart w:id="686" w:name="_Toc16276"/>
      <w:r>
        <w:rPr>
          <w:rFonts w:hint="eastAsia" w:cs="宋体"/>
          <w:color w:val="auto"/>
          <w:highlight w:val="none"/>
        </w:rPr>
        <w:t>补充合同</w:t>
      </w:r>
      <w:bookmarkEnd w:id="682"/>
      <w:bookmarkEnd w:id="683"/>
      <w:bookmarkEnd w:id="684"/>
      <w:bookmarkEnd w:id="685"/>
      <w:bookmarkEnd w:id="686"/>
    </w:p>
    <w:p>
      <w:pPr>
        <w:pStyle w:val="35"/>
        <w:rPr>
          <w:rFonts w:cs="宋体"/>
          <w:color w:val="auto"/>
          <w:highlight w:val="none"/>
        </w:rPr>
      </w:pPr>
      <w:r>
        <w:rPr>
          <w:rFonts w:hint="eastAsia" w:cs="宋体"/>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Pr>
        <w:pStyle w:val="33"/>
        <w:numPr>
          <w:ilvl w:val="2"/>
          <w:numId w:val="15"/>
        </w:numPr>
        <w:ind w:firstLine="482"/>
        <w:rPr>
          <w:rFonts w:cs="宋体"/>
          <w:color w:val="auto"/>
          <w:highlight w:val="none"/>
        </w:rPr>
      </w:pPr>
      <w:bookmarkStart w:id="687" w:name="_Toc31562"/>
      <w:bookmarkStart w:id="688" w:name="_Toc13715"/>
      <w:bookmarkStart w:id="689" w:name="_Toc19188"/>
      <w:bookmarkStart w:id="690" w:name="_Toc30638"/>
      <w:bookmarkStart w:id="691" w:name="_Toc20598"/>
      <w:bookmarkStart w:id="692" w:name="_Toc12689"/>
      <w:bookmarkStart w:id="693" w:name="_Toc308164812"/>
      <w:bookmarkStart w:id="694" w:name="_Toc24237"/>
      <w:bookmarkStart w:id="695" w:name="_Toc24147"/>
      <w:bookmarkStart w:id="696" w:name="_Toc31704"/>
      <w:bookmarkStart w:id="697" w:name="_Toc217446068"/>
      <w:bookmarkStart w:id="698" w:name="_Toc308084605"/>
      <w:bookmarkStart w:id="699" w:name="_Toc30856"/>
      <w:bookmarkStart w:id="700" w:name="_Toc308188160"/>
      <w:bookmarkStart w:id="701" w:name="_Toc16034"/>
      <w:bookmarkStart w:id="702" w:name="_Toc27331"/>
      <w:bookmarkStart w:id="703" w:name="_Toc327196294"/>
      <w:bookmarkStart w:id="704" w:name="_Toc319440150"/>
      <w:bookmarkStart w:id="705" w:name="_Toc11533"/>
      <w:bookmarkStart w:id="706" w:name="_Toc309897523"/>
      <w:bookmarkStart w:id="707" w:name="_Toc307501117"/>
      <w:bookmarkStart w:id="708" w:name="_Toc27686"/>
      <w:bookmarkStart w:id="709" w:name="_Toc307564860"/>
      <w:bookmarkStart w:id="710" w:name="_Toc28404"/>
      <w:bookmarkStart w:id="711" w:name="_Toc319439908"/>
      <w:bookmarkStart w:id="712" w:name="_Toc22746"/>
      <w:bookmarkStart w:id="713" w:name="_Toc19537"/>
      <w:r>
        <w:rPr>
          <w:rFonts w:hint="eastAsia" w:cs="宋体"/>
          <w:color w:val="auto"/>
          <w:highlight w:val="none"/>
        </w:rPr>
        <w:t>合同公告</w:t>
      </w:r>
      <w:bookmarkEnd w:id="687"/>
      <w:bookmarkEnd w:id="688"/>
      <w:bookmarkEnd w:id="689"/>
      <w:bookmarkEnd w:id="690"/>
      <w:bookmarkEnd w:id="691"/>
      <w:bookmarkEnd w:id="692"/>
    </w:p>
    <w:p>
      <w:pPr>
        <w:pStyle w:val="35"/>
        <w:rPr>
          <w:rFonts w:cs="宋体"/>
          <w:color w:val="auto"/>
          <w:highlight w:val="none"/>
        </w:rPr>
      </w:pPr>
      <w:r>
        <w:rPr>
          <w:rFonts w:hint="eastAsia" w:cs="宋体"/>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33"/>
        <w:numPr>
          <w:ilvl w:val="2"/>
          <w:numId w:val="15"/>
        </w:numPr>
        <w:ind w:firstLine="482"/>
        <w:rPr>
          <w:rFonts w:cs="宋体"/>
          <w:color w:val="auto"/>
          <w:highlight w:val="none"/>
        </w:rPr>
      </w:pPr>
      <w:bookmarkStart w:id="714" w:name="_Toc29726"/>
      <w:bookmarkStart w:id="715" w:name="_Toc29067"/>
      <w:bookmarkStart w:id="716" w:name="_Toc3614"/>
      <w:bookmarkStart w:id="717" w:name="_Toc19464"/>
      <w:r>
        <w:rPr>
          <w:rFonts w:hint="eastAsia" w:cs="宋体"/>
          <w:color w:val="auto"/>
          <w:highlight w:val="none"/>
        </w:rPr>
        <w:t>合同备案</w:t>
      </w:r>
      <w:bookmarkEnd w:id="714"/>
      <w:bookmarkEnd w:id="715"/>
      <w:bookmarkEnd w:id="716"/>
      <w:bookmarkEnd w:id="717"/>
    </w:p>
    <w:p>
      <w:pPr>
        <w:pStyle w:val="35"/>
        <w:rPr>
          <w:rFonts w:cs="宋体"/>
          <w:color w:val="auto"/>
          <w:highlight w:val="none"/>
        </w:rPr>
      </w:pPr>
      <w:r>
        <w:rPr>
          <w:rFonts w:hint="eastAsia" w:cs="宋体"/>
          <w:color w:val="auto"/>
          <w:highlight w:val="none"/>
        </w:rPr>
        <w:t>采购人应当将政府采购合同副本自签订之日起七个工作日内通过“政采云平台”报同级财政部门备案。</w:t>
      </w:r>
    </w:p>
    <w:p>
      <w:pPr>
        <w:pStyle w:val="33"/>
        <w:numPr>
          <w:ilvl w:val="2"/>
          <w:numId w:val="15"/>
        </w:numPr>
        <w:ind w:firstLine="482"/>
        <w:rPr>
          <w:rFonts w:cs="宋体"/>
          <w:color w:val="auto"/>
          <w:highlight w:val="none"/>
        </w:rPr>
      </w:pPr>
      <w:bookmarkStart w:id="718" w:name="_Toc14155"/>
      <w:bookmarkStart w:id="719" w:name="_Toc28659"/>
      <w:r>
        <w:rPr>
          <w:rFonts w:hint="eastAsia" w:cs="宋体"/>
          <w:color w:val="auto"/>
          <w:highlight w:val="none"/>
        </w:rPr>
        <w:t>履约保证金</w:t>
      </w:r>
      <w:bookmarkEnd w:id="693"/>
      <w:bookmarkEnd w:id="694"/>
      <w:bookmarkEnd w:id="695"/>
      <w:bookmarkEnd w:id="696"/>
      <w:bookmarkEnd w:id="718"/>
      <w:bookmarkEnd w:id="719"/>
    </w:p>
    <w:p>
      <w:pPr>
        <w:pStyle w:val="35"/>
        <w:rPr>
          <w:rFonts w:cs="宋体"/>
          <w:color w:val="auto"/>
          <w:highlight w:val="none"/>
        </w:rPr>
      </w:pPr>
      <w:r>
        <w:rPr>
          <w:rFonts w:hint="eastAsia" w:cs="宋体"/>
          <w:color w:val="auto"/>
          <w:highlight w:val="none"/>
        </w:rPr>
        <w:t>本项目不收取履约保证金。</w:t>
      </w:r>
    </w:p>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Pr>
        <w:pStyle w:val="33"/>
        <w:numPr>
          <w:ilvl w:val="2"/>
          <w:numId w:val="15"/>
        </w:numPr>
        <w:ind w:firstLine="482"/>
        <w:rPr>
          <w:rFonts w:cs="宋体"/>
          <w:color w:val="auto"/>
          <w:highlight w:val="none"/>
        </w:rPr>
      </w:pPr>
      <w:bookmarkStart w:id="720" w:name="_Toc29503"/>
      <w:bookmarkStart w:id="721" w:name="_Toc13194"/>
      <w:bookmarkStart w:id="722" w:name="_Toc20969"/>
      <w:bookmarkStart w:id="723" w:name="_Toc15310"/>
      <w:bookmarkStart w:id="724" w:name="_Toc16000"/>
      <w:bookmarkStart w:id="725" w:name="_Toc217446070"/>
      <w:bookmarkStart w:id="726" w:name="_Toc5754"/>
      <w:bookmarkStart w:id="727" w:name="_Toc15219"/>
      <w:bookmarkStart w:id="728" w:name="_Toc17018"/>
      <w:bookmarkStart w:id="729" w:name="_Toc319440152"/>
      <w:bookmarkStart w:id="730" w:name="_Toc18547"/>
      <w:bookmarkStart w:id="731" w:name="_Toc9916"/>
      <w:bookmarkStart w:id="732" w:name="_Toc308188162"/>
      <w:bookmarkStart w:id="733" w:name="_Toc27114"/>
      <w:bookmarkStart w:id="734" w:name="_Toc309897525"/>
      <w:bookmarkStart w:id="735" w:name="_Toc9815"/>
      <w:bookmarkStart w:id="736" w:name="_Toc27872"/>
      <w:bookmarkStart w:id="737" w:name="_Toc307501119"/>
      <w:bookmarkStart w:id="738" w:name="_Toc319439910"/>
      <w:bookmarkStart w:id="739" w:name="_Toc307564862"/>
      <w:bookmarkStart w:id="740" w:name="_Toc308084607"/>
      <w:bookmarkStart w:id="741" w:name="_Toc327196296"/>
      <w:r>
        <w:rPr>
          <w:rFonts w:hint="eastAsia" w:cs="宋体"/>
          <w:color w:val="auto"/>
          <w:highlight w:val="none"/>
        </w:rPr>
        <w:t>履行合同</w:t>
      </w:r>
      <w:bookmarkEnd w:id="720"/>
      <w:bookmarkEnd w:id="721"/>
      <w:bookmarkEnd w:id="722"/>
      <w:bookmarkEnd w:id="723"/>
      <w:bookmarkEnd w:id="724"/>
    </w:p>
    <w:p>
      <w:pPr>
        <w:pStyle w:val="34"/>
        <w:ind w:firstLine="480"/>
        <w:rPr>
          <w:rFonts w:cs="宋体"/>
          <w:color w:val="auto"/>
          <w:highlight w:val="none"/>
        </w:rPr>
      </w:pPr>
      <w:bookmarkStart w:id="742" w:name="_Toc31"/>
      <w:bookmarkStart w:id="743" w:name="_Toc12435"/>
      <w:r>
        <w:rPr>
          <w:rFonts w:hint="eastAsia" w:cs="宋体"/>
          <w:color w:val="auto"/>
          <w:highlight w:val="none"/>
        </w:rPr>
        <w:t>采购人与中标人应当根据合同的约定依法履行合同义务。</w:t>
      </w:r>
    </w:p>
    <w:p>
      <w:pPr>
        <w:pStyle w:val="34"/>
        <w:ind w:firstLine="480"/>
        <w:rPr>
          <w:rFonts w:cs="宋体"/>
          <w:color w:val="auto"/>
          <w:highlight w:val="none"/>
        </w:rPr>
      </w:pPr>
      <w:r>
        <w:rPr>
          <w:rFonts w:hint="eastAsia" w:cs="宋体"/>
          <w:color w:val="auto"/>
          <w:highlight w:val="none"/>
        </w:rPr>
        <w:t>政府采购合同的履行、违约责任和解决争议的方法等适用《中华人民共和国民法典》。</w:t>
      </w:r>
    </w:p>
    <w:p>
      <w:pPr>
        <w:pStyle w:val="33"/>
        <w:numPr>
          <w:ilvl w:val="2"/>
          <w:numId w:val="15"/>
        </w:numPr>
        <w:ind w:firstLine="482"/>
        <w:rPr>
          <w:rFonts w:cs="宋体"/>
          <w:color w:val="auto"/>
          <w:highlight w:val="none"/>
        </w:rPr>
      </w:pPr>
      <w:bookmarkStart w:id="744" w:name="_Toc14680"/>
      <w:bookmarkStart w:id="745" w:name="_Toc25906"/>
      <w:bookmarkStart w:id="746" w:name="_Toc22276"/>
      <w:r>
        <w:rPr>
          <w:rFonts w:hint="eastAsia" w:cs="宋体"/>
          <w:color w:val="auto"/>
          <w:highlight w:val="none"/>
        </w:rPr>
        <w:t>验收</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pPr>
        <w:pStyle w:val="34"/>
        <w:numPr>
          <w:ilvl w:val="3"/>
          <w:numId w:val="0"/>
        </w:numPr>
        <w:ind w:firstLine="480" w:firstLineChars="200"/>
        <w:rPr>
          <w:rFonts w:cs="宋体"/>
          <w:color w:val="auto"/>
          <w:highlight w:val="none"/>
        </w:rPr>
      </w:pPr>
      <w:bookmarkStart w:id="747" w:name="_Toc217446071"/>
      <w:r>
        <w:rPr>
          <w:rFonts w:hint="eastAsia" w:cs="宋体"/>
          <w:color w:val="auto"/>
          <w:highlight w:val="none"/>
        </w:rPr>
        <w:t>详见招标文件第六章。</w:t>
      </w:r>
    </w:p>
    <w:bookmarkEnd w:id="747"/>
    <w:p>
      <w:pPr>
        <w:pStyle w:val="33"/>
        <w:numPr>
          <w:ilvl w:val="2"/>
          <w:numId w:val="15"/>
        </w:numPr>
        <w:ind w:firstLine="482"/>
        <w:rPr>
          <w:rFonts w:cs="宋体"/>
          <w:color w:val="auto"/>
          <w:highlight w:val="none"/>
        </w:rPr>
      </w:pPr>
      <w:bookmarkStart w:id="748" w:name="_Toc308164818"/>
      <w:bookmarkStart w:id="749" w:name="_Toc17896"/>
      <w:bookmarkStart w:id="750" w:name="_Toc11040"/>
      <w:bookmarkStart w:id="751" w:name="_Toc3266"/>
      <w:bookmarkStart w:id="752" w:name="_Toc16716"/>
      <w:bookmarkStart w:id="753" w:name="_Toc12297"/>
      <w:r>
        <w:rPr>
          <w:rFonts w:hint="eastAsia" w:cs="宋体"/>
          <w:color w:val="auto"/>
          <w:highlight w:val="none"/>
        </w:rPr>
        <w:t>资金支付</w:t>
      </w:r>
      <w:bookmarkEnd w:id="748"/>
      <w:r>
        <w:rPr>
          <w:rFonts w:hint="eastAsia" w:cs="宋体"/>
          <w:color w:val="auto"/>
          <w:highlight w:val="none"/>
        </w:rPr>
        <w:t>方式、时间、条件</w:t>
      </w:r>
      <w:bookmarkEnd w:id="749"/>
      <w:bookmarkEnd w:id="750"/>
      <w:bookmarkEnd w:id="751"/>
      <w:bookmarkEnd w:id="752"/>
      <w:bookmarkEnd w:id="753"/>
    </w:p>
    <w:p>
      <w:pPr>
        <w:pStyle w:val="34"/>
        <w:numPr>
          <w:ilvl w:val="3"/>
          <w:numId w:val="0"/>
        </w:numPr>
        <w:ind w:left="480" w:leftChars="200"/>
        <w:rPr>
          <w:color w:val="auto"/>
          <w:highlight w:val="none"/>
        </w:rPr>
      </w:pPr>
      <w:r>
        <w:rPr>
          <w:rFonts w:hint="eastAsia" w:cs="宋体"/>
          <w:color w:val="auto"/>
          <w:highlight w:val="none"/>
        </w:rPr>
        <w:t>详见招标文件第六章。</w:t>
      </w:r>
    </w:p>
    <w:p>
      <w:pPr>
        <w:pStyle w:val="50"/>
        <w:spacing w:before="120" w:after="120"/>
        <w:rPr>
          <w:color w:val="auto"/>
          <w:highlight w:val="none"/>
        </w:rPr>
      </w:pPr>
      <w:bookmarkStart w:id="754" w:name="_Toc27770"/>
      <w:bookmarkStart w:id="755" w:name="_Toc3955"/>
      <w:bookmarkStart w:id="756" w:name="_Toc15972"/>
      <w:bookmarkStart w:id="757" w:name="_Toc7804"/>
      <w:r>
        <w:rPr>
          <w:rFonts w:hint="eastAsia"/>
          <w:color w:val="auto"/>
          <w:highlight w:val="none"/>
        </w:rPr>
        <w:t>投标纪律要求</w:t>
      </w:r>
      <w:bookmarkEnd w:id="634"/>
      <w:bookmarkEnd w:id="635"/>
      <w:bookmarkEnd w:id="636"/>
      <w:bookmarkEnd w:id="754"/>
      <w:bookmarkEnd w:id="755"/>
      <w:bookmarkEnd w:id="756"/>
      <w:bookmarkEnd w:id="757"/>
    </w:p>
    <w:p>
      <w:pPr>
        <w:pStyle w:val="35"/>
        <w:rPr>
          <w:color w:val="auto"/>
          <w:highlight w:val="none"/>
        </w:rPr>
      </w:pPr>
      <w:bookmarkStart w:id="758" w:name="_Toc308084609"/>
      <w:bookmarkStart w:id="759" w:name="_Toc309897527"/>
      <w:bookmarkStart w:id="760" w:name="_Toc11074"/>
      <w:bookmarkStart w:id="761" w:name="_Toc6284"/>
      <w:bookmarkStart w:id="762" w:name="_Toc10754"/>
      <w:bookmarkStart w:id="763" w:name="_Toc5014"/>
      <w:bookmarkStart w:id="764" w:name="_Toc1828"/>
      <w:bookmarkStart w:id="765" w:name="_Toc307564864"/>
      <w:bookmarkStart w:id="766" w:name="_Toc17887"/>
      <w:bookmarkStart w:id="767" w:name="_Toc20490"/>
      <w:bookmarkStart w:id="768" w:name="_Toc308188164"/>
      <w:bookmarkStart w:id="769" w:name="_Toc31498"/>
      <w:bookmarkStart w:id="770" w:name="_Toc30964"/>
      <w:bookmarkStart w:id="771" w:name="_Toc319439912"/>
      <w:bookmarkStart w:id="772" w:name="_Toc21018"/>
      <w:bookmarkStart w:id="773" w:name="_Toc307501121"/>
      <w:bookmarkStart w:id="774" w:name="_Toc27399"/>
      <w:bookmarkStart w:id="775" w:name="_Toc319440154"/>
      <w:bookmarkStart w:id="776" w:name="_Toc327196298"/>
      <w:bookmarkStart w:id="777" w:name="_Toc217446075"/>
      <w:r>
        <w:rPr>
          <w:rFonts w:hint="eastAsia"/>
          <w:color w:val="auto"/>
          <w:highlight w:val="none"/>
        </w:rPr>
        <w:t>投标人不得具有的情形</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Pr>
          <w:rFonts w:hint="eastAsia"/>
          <w:color w:val="auto"/>
          <w:highlight w:val="none"/>
        </w:rPr>
        <w:t>：</w:t>
      </w:r>
    </w:p>
    <w:p>
      <w:pPr>
        <w:pStyle w:val="41"/>
        <w:numPr>
          <w:ilvl w:val="1"/>
          <w:numId w:val="16"/>
        </w:numPr>
        <w:ind w:firstLine="480"/>
        <w:rPr>
          <w:color w:val="auto"/>
          <w:highlight w:val="none"/>
        </w:rPr>
      </w:pPr>
      <w:r>
        <w:rPr>
          <w:rFonts w:hint="eastAsia"/>
          <w:color w:val="auto"/>
          <w:highlight w:val="none"/>
        </w:rPr>
        <w:t>提供虚假材料谋取中标；</w:t>
      </w:r>
    </w:p>
    <w:p>
      <w:pPr>
        <w:pStyle w:val="41"/>
        <w:numPr>
          <w:ilvl w:val="1"/>
          <w:numId w:val="16"/>
        </w:numPr>
        <w:ind w:firstLine="480"/>
        <w:rPr>
          <w:color w:val="auto"/>
          <w:highlight w:val="none"/>
        </w:rPr>
      </w:pPr>
      <w:r>
        <w:rPr>
          <w:rFonts w:hint="eastAsia"/>
          <w:color w:val="auto"/>
          <w:highlight w:val="none"/>
        </w:rPr>
        <w:t>采取不正当手段诋毁、排挤其他投标人；</w:t>
      </w:r>
    </w:p>
    <w:p>
      <w:pPr>
        <w:pStyle w:val="41"/>
        <w:numPr>
          <w:ilvl w:val="1"/>
          <w:numId w:val="16"/>
        </w:numPr>
        <w:ind w:firstLine="480"/>
        <w:rPr>
          <w:color w:val="auto"/>
          <w:highlight w:val="none"/>
        </w:rPr>
      </w:pPr>
      <w:r>
        <w:rPr>
          <w:rFonts w:hint="eastAsia"/>
          <w:color w:val="auto"/>
          <w:highlight w:val="none"/>
        </w:rPr>
        <w:t>与招标采购单位、其他投标人恶意串通；</w:t>
      </w:r>
    </w:p>
    <w:p>
      <w:pPr>
        <w:pStyle w:val="41"/>
        <w:numPr>
          <w:ilvl w:val="1"/>
          <w:numId w:val="16"/>
        </w:numPr>
        <w:ind w:firstLine="480"/>
        <w:rPr>
          <w:color w:val="auto"/>
          <w:highlight w:val="none"/>
        </w:rPr>
      </w:pPr>
      <w:r>
        <w:rPr>
          <w:rFonts w:hint="eastAsia"/>
          <w:color w:val="auto"/>
          <w:highlight w:val="none"/>
        </w:rPr>
        <w:t>向招标采购单位、评标委员会成员行贿或者提供其他不正当利益；</w:t>
      </w:r>
    </w:p>
    <w:p>
      <w:pPr>
        <w:pStyle w:val="41"/>
        <w:numPr>
          <w:ilvl w:val="1"/>
          <w:numId w:val="16"/>
        </w:numPr>
        <w:ind w:firstLine="480"/>
        <w:rPr>
          <w:color w:val="auto"/>
          <w:highlight w:val="none"/>
        </w:rPr>
      </w:pPr>
      <w:r>
        <w:rPr>
          <w:rFonts w:hint="eastAsia"/>
          <w:color w:val="auto"/>
          <w:highlight w:val="none"/>
        </w:rPr>
        <w:t>在招标过程中与招标采购单位进行协商谈判；</w:t>
      </w:r>
    </w:p>
    <w:p>
      <w:pPr>
        <w:pStyle w:val="41"/>
        <w:numPr>
          <w:ilvl w:val="1"/>
          <w:numId w:val="16"/>
        </w:numPr>
        <w:ind w:firstLine="480"/>
        <w:rPr>
          <w:color w:val="auto"/>
          <w:highlight w:val="none"/>
        </w:rPr>
      </w:pPr>
      <w:r>
        <w:rPr>
          <w:rFonts w:hint="eastAsia"/>
          <w:color w:val="auto"/>
          <w:highlight w:val="none"/>
        </w:rPr>
        <w:t>中标或者成交后无正当理由拒不与采购人签订政府采购合同；</w:t>
      </w:r>
    </w:p>
    <w:p>
      <w:pPr>
        <w:pStyle w:val="41"/>
        <w:numPr>
          <w:ilvl w:val="1"/>
          <w:numId w:val="16"/>
        </w:numPr>
        <w:ind w:firstLine="480"/>
        <w:rPr>
          <w:color w:val="auto"/>
          <w:highlight w:val="none"/>
        </w:rPr>
      </w:pPr>
      <w:r>
        <w:rPr>
          <w:rFonts w:hint="eastAsia"/>
          <w:color w:val="auto"/>
          <w:highlight w:val="none"/>
        </w:rPr>
        <w:t>未按照采购文件确定的事项签订政府采购合同；</w:t>
      </w:r>
    </w:p>
    <w:p>
      <w:pPr>
        <w:pStyle w:val="41"/>
        <w:numPr>
          <w:ilvl w:val="1"/>
          <w:numId w:val="16"/>
        </w:numPr>
        <w:ind w:firstLine="480"/>
        <w:rPr>
          <w:color w:val="auto"/>
          <w:highlight w:val="none"/>
        </w:rPr>
      </w:pPr>
      <w:r>
        <w:rPr>
          <w:rFonts w:hint="eastAsia"/>
          <w:color w:val="auto"/>
          <w:highlight w:val="none"/>
        </w:rPr>
        <w:t>将政府采购合同转包或者违规分包；</w:t>
      </w:r>
    </w:p>
    <w:p>
      <w:pPr>
        <w:pStyle w:val="41"/>
        <w:numPr>
          <w:ilvl w:val="1"/>
          <w:numId w:val="16"/>
        </w:numPr>
        <w:ind w:firstLine="480"/>
        <w:rPr>
          <w:color w:val="auto"/>
          <w:highlight w:val="none"/>
        </w:rPr>
      </w:pPr>
      <w:r>
        <w:rPr>
          <w:rFonts w:hint="eastAsia"/>
          <w:color w:val="auto"/>
          <w:highlight w:val="none"/>
        </w:rPr>
        <w:t>提供假冒伪劣产品；</w:t>
      </w:r>
    </w:p>
    <w:p>
      <w:pPr>
        <w:pStyle w:val="41"/>
        <w:numPr>
          <w:ilvl w:val="1"/>
          <w:numId w:val="16"/>
        </w:numPr>
        <w:ind w:firstLine="480"/>
        <w:rPr>
          <w:color w:val="auto"/>
          <w:highlight w:val="none"/>
        </w:rPr>
      </w:pPr>
      <w:r>
        <w:rPr>
          <w:rFonts w:hint="eastAsia"/>
          <w:color w:val="auto"/>
          <w:highlight w:val="none"/>
        </w:rPr>
        <w:t>擅自变更、中止或者终止政府采购合同；</w:t>
      </w:r>
    </w:p>
    <w:p>
      <w:pPr>
        <w:pStyle w:val="41"/>
        <w:numPr>
          <w:ilvl w:val="1"/>
          <w:numId w:val="16"/>
        </w:numPr>
        <w:ind w:firstLine="480"/>
        <w:rPr>
          <w:color w:val="auto"/>
          <w:highlight w:val="none"/>
        </w:rPr>
      </w:pPr>
      <w:r>
        <w:rPr>
          <w:rFonts w:hint="eastAsia"/>
          <w:color w:val="auto"/>
          <w:highlight w:val="none"/>
        </w:rPr>
        <w:t>拒绝有关部门的监督检查或者向监督检查部门提供虚假情况；</w:t>
      </w:r>
    </w:p>
    <w:p>
      <w:pPr>
        <w:pStyle w:val="41"/>
        <w:numPr>
          <w:ilvl w:val="1"/>
          <w:numId w:val="16"/>
        </w:numPr>
        <w:ind w:firstLine="480"/>
        <w:rPr>
          <w:color w:val="auto"/>
          <w:highlight w:val="none"/>
        </w:rPr>
      </w:pPr>
      <w:r>
        <w:rPr>
          <w:rFonts w:hint="eastAsia"/>
          <w:color w:val="auto"/>
          <w:highlight w:val="none"/>
        </w:rPr>
        <w:t>法律法规规定的其他情形。</w:t>
      </w:r>
    </w:p>
    <w:p>
      <w:pPr>
        <w:pStyle w:val="31"/>
        <w:ind w:firstLine="480" w:firstLineChars="200"/>
        <w:rPr>
          <w:color w:val="auto"/>
          <w:highlight w:val="none"/>
        </w:rPr>
      </w:pPr>
      <w:bookmarkStart w:id="778" w:name="_Toc217446078"/>
      <w:bookmarkStart w:id="779" w:name="_Toc525"/>
      <w:bookmarkStart w:id="780" w:name="_Toc8765"/>
      <w:bookmarkStart w:id="781" w:name="_Toc20327"/>
      <w:r>
        <w:rPr>
          <w:rFonts w:hint="eastAsia"/>
          <w:color w:val="auto"/>
          <w:highlight w:val="none"/>
        </w:rPr>
        <w:t>投标人有上述情形的，按照规定追究法律责任，具备(一)～(十)条情形之一的，同时将取消中标资格或者认定中标无效。</w:t>
      </w:r>
    </w:p>
    <w:bookmarkEnd w:id="637"/>
    <w:bookmarkEnd w:id="638"/>
    <w:bookmarkEnd w:id="778"/>
    <w:bookmarkEnd w:id="779"/>
    <w:bookmarkEnd w:id="780"/>
    <w:bookmarkEnd w:id="781"/>
    <w:p>
      <w:pPr>
        <w:pStyle w:val="50"/>
        <w:spacing w:before="120" w:after="120"/>
        <w:rPr>
          <w:color w:val="auto"/>
          <w:highlight w:val="none"/>
        </w:rPr>
      </w:pPr>
      <w:bookmarkStart w:id="782" w:name="_Toc23393"/>
      <w:bookmarkStart w:id="783" w:name="_Toc24434"/>
      <w:bookmarkStart w:id="784" w:name="_Toc24165"/>
      <w:bookmarkStart w:id="785" w:name="_Toc1652"/>
      <w:bookmarkStart w:id="786" w:name="_Toc12421"/>
      <w:bookmarkStart w:id="787" w:name="_Toc9092"/>
      <w:bookmarkStart w:id="788" w:name="_Toc414"/>
      <w:bookmarkStart w:id="789" w:name="_Toc327196301"/>
      <w:bookmarkStart w:id="790" w:name="_Toc21424"/>
      <w:bookmarkStart w:id="791" w:name="_Toc5589"/>
      <w:r>
        <w:rPr>
          <w:rFonts w:hint="eastAsia"/>
          <w:color w:val="auto"/>
          <w:highlight w:val="none"/>
        </w:rPr>
        <w:t>其他</w:t>
      </w:r>
      <w:bookmarkEnd w:id="782"/>
    </w:p>
    <w:p>
      <w:pPr>
        <w:pStyle w:val="33"/>
        <w:numPr>
          <w:ilvl w:val="2"/>
          <w:numId w:val="17"/>
        </w:numPr>
        <w:ind w:firstLine="482"/>
        <w:rPr>
          <w:color w:val="auto"/>
          <w:highlight w:val="none"/>
        </w:rPr>
      </w:pPr>
      <w:bookmarkStart w:id="792" w:name="_Toc27760"/>
      <w:r>
        <w:rPr>
          <w:rFonts w:hint="eastAsia"/>
          <w:color w:val="auto"/>
          <w:highlight w:val="none"/>
        </w:rPr>
        <w:t>询问</w:t>
      </w:r>
      <w:bookmarkEnd w:id="783"/>
      <w:bookmarkEnd w:id="784"/>
      <w:bookmarkEnd w:id="785"/>
      <w:bookmarkEnd w:id="786"/>
      <w:bookmarkEnd w:id="787"/>
      <w:bookmarkEnd w:id="788"/>
      <w:r>
        <w:rPr>
          <w:rFonts w:hint="eastAsia"/>
          <w:color w:val="auto"/>
          <w:highlight w:val="none"/>
        </w:rPr>
        <w:t>、质疑和投诉</w:t>
      </w:r>
      <w:bookmarkEnd w:id="792"/>
    </w:p>
    <w:bookmarkEnd w:id="789"/>
    <w:bookmarkEnd w:id="790"/>
    <w:p>
      <w:pPr>
        <w:pStyle w:val="35"/>
        <w:rPr>
          <w:color w:val="auto"/>
          <w:highlight w:val="none"/>
        </w:rPr>
      </w:pPr>
      <w:r>
        <w:rPr>
          <w:rFonts w:hint="eastAsia"/>
          <w:color w:val="auto"/>
          <w:highlight w:val="none"/>
        </w:rPr>
        <w:t>具体详见投标人须知前附表。</w:t>
      </w:r>
    </w:p>
    <w:p>
      <w:pPr>
        <w:pStyle w:val="33"/>
        <w:numPr>
          <w:ilvl w:val="2"/>
          <w:numId w:val="17"/>
        </w:numPr>
        <w:ind w:firstLine="482"/>
        <w:rPr>
          <w:color w:val="auto"/>
          <w:highlight w:val="none"/>
        </w:rPr>
      </w:pPr>
      <w:bookmarkStart w:id="793" w:name="_Toc22454"/>
      <w:bookmarkStart w:id="794" w:name="_Toc27417"/>
      <w:bookmarkStart w:id="795" w:name="_Toc8852"/>
      <w:bookmarkStart w:id="796" w:name="_Toc31739"/>
      <w:bookmarkStart w:id="797" w:name="_Toc11575"/>
      <w:r>
        <w:rPr>
          <w:rFonts w:hint="eastAsia"/>
          <w:color w:val="auto"/>
          <w:highlight w:val="none"/>
        </w:rPr>
        <w:t>关于行贿犯罪档案查询工作的规定</w:t>
      </w:r>
      <w:bookmarkEnd w:id="793"/>
      <w:bookmarkEnd w:id="794"/>
      <w:bookmarkEnd w:id="795"/>
      <w:bookmarkEnd w:id="796"/>
      <w:bookmarkEnd w:id="797"/>
    </w:p>
    <w:p>
      <w:pPr>
        <w:pStyle w:val="35"/>
        <w:rPr>
          <w:color w:val="auto"/>
          <w:highlight w:val="none"/>
        </w:rPr>
      </w:pPr>
      <w:bookmarkStart w:id="798" w:name="_Toc24870"/>
      <w:bookmarkStart w:id="799" w:name="_Toc25217"/>
      <w:r>
        <w:rPr>
          <w:rFonts w:hint="eastAsia"/>
          <w:color w:val="auto"/>
          <w:highlight w:val="none"/>
        </w:rPr>
        <w:t>因国家检察机关职务犯罪侦查部门转隶工作已经完成，供应商参与采购活动时须按照采购文件要求提供承诺函或由采购代理机构通过“中国裁判文书网”查询，并将查询记录存档。</w:t>
      </w:r>
    </w:p>
    <w:p>
      <w:pPr>
        <w:pStyle w:val="33"/>
        <w:numPr>
          <w:ilvl w:val="2"/>
          <w:numId w:val="17"/>
        </w:numPr>
        <w:ind w:firstLine="482"/>
        <w:rPr>
          <w:color w:val="auto"/>
          <w:highlight w:val="none"/>
        </w:rPr>
      </w:pPr>
      <w:bookmarkStart w:id="800" w:name="_Toc28559"/>
      <w:bookmarkStart w:id="801" w:name="_Toc30567"/>
      <w:r>
        <w:rPr>
          <w:rFonts w:hint="eastAsia"/>
          <w:color w:val="auto"/>
          <w:highlight w:val="none"/>
        </w:rPr>
        <w:t>串通投标的情形</w:t>
      </w:r>
      <w:bookmarkEnd w:id="798"/>
      <w:bookmarkEnd w:id="799"/>
      <w:bookmarkEnd w:id="800"/>
      <w:bookmarkEnd w:id="801"/>
    </w:p>
    <w:p>
      <w:pPr>
        <w:pStyle w:val="35"/>
        <w:rPr>
          <w:color w:val="auto"/>
          <w:highlight w:val="none"/>
        </w:rPr>
      </w:pPr>
      <w:r>
        <w:rPr>
          <w:rFonts w:hint="eastAsia"/>
          <w:color w:val="auto"/>
          <w:highlight w:val="none"/>
        </w:rPr>
        <w:t>有下列情形之一的，视为投标人串通投标，其投标无效。</w:t>
      </w:r>
    </w:p>
    <w:p>
      <w:pPr>
        <w:pStyle w:val="35"/>
        <w:rPr>
          <w:color w:val="auto"/>
          <w:highlight w:val="none"/>
        </w:rPr>
      </w:pPr>
      <w:r>
        <w:rPr>
          <w:rFonts w:hint="eastAsia"/>
          <w:color w:val="auto"/>
          <w:highlight w:val="none"/>
        </w:rPr>
        <w:t>1.不同投标人的投标文件由同一单位或者个人编制；</w:t>
      </w:r>
    </w:p>
    <w:p>
      <w:pPr>
        <w:pStyle w:val="35"/>
        <w:rPr>
          <w:color w:val="auto"/>
          <w:highlight w:val="none"/>
        </w:rPr>
      </w:pPr>
      <w:r>
        <w:rPr>
          <w:rFonts w:hint="eastAsia"/>
          <w:color w:val="auto"/>
          <w:highlight w:val="none"/>
        </w:rPr>
        <w:t>2.不同投标人委托同一单位或者个人办理投标事宜；</w:t>
      </w:r>
    </w:p>
    <w:p>
      <w:pPr>
        <w:pStyle w:val="35"/>
        <w:rPr>
          <w:color w:val="auto"/>
          <w:highlight w:val="none"/>
        </w:rPr>
      </w:pPr>
      <w:r>
        <w:rPr>
          <w:rFonts w:hint="eastAsia"/>
          <w:color w:val="auto"/>
          <w:highlight w:val="none"/>
        </w:rPr>
        <w:t>3.不同投标人的投标文件载明的项目管理成员或者联系人员为同一人；</w:t>
      </w:r>
    </w:p>
    <w:p>
      <w:pPr>
        <w:pStyle w:val="35"/>
        <w:rPr>
          <w:color w:val="auto"/>
          <w:highlight w:val="none"/>
        </w:rPr>
      </w:pPr>
      <w:r>
        <w:rPr>
          <w:rFonts w:hint="eastAsia"/>
          <w:color w:val="auto"/>
          <w:highlight w:val="none"/>
        </w:rPr>
        <w:t>4.不同投标人的投标文件异常一致或者投标报价呈规律性差异；</w:t>
      </w:r>
    </w:p>
    <w:p>
      <w:pPr>
        <w:pStyle w:val="35"/>
        <w:rPr>
          <w:color w:val="auto"/>
          <w:highlight w:val="none"/>
        </w:rPr>
      </w:pPr>
      <w:r>
        <w:rPr>
          <w:rFonts w:hint="eastAsia"/>
          <w:color w:val="auto"/>
          <w:highlight w:val="none"/>
        </w:rPr>
        <w:t>5.不同投标人的投标文件相互混装。</w:t>
      </w:r>
    </w:p>
    <w:p>
      <w:pPr>
        <w:pStyle w:val="33"/>
        <w:numPr>
          <w:ilvl w:val="2"/>
          <w:numId w:val="17"/>
        </w:numPr>
        <w:ind w:firstLine="482"/>
        <w:rPr>
          <w:color w:val="auto"/>
          <w:highlight w:val="none"/>
        </w:rPr>
      </w:pPr>
      <w:bookmarkStart w:id="802" w:name="_Toc22192"/>
      <w:bookmarkStart w:id="803" w:name="_Toc28783"/>
      <w:bookmarkStart w:id="804" w:name="_Toc32334"/>
      <w:bookmarkStart w:id="805" w:name="_Toc10983"/>
      <w:bookmarkStart w:id="806" w:name="_Toc17038"/>
      <w:bookmarkStart w:id="807" w:name="_Toc21656"/>
      <w:r>
        <w:rPr>
          <w:rFonts w:hint="eastAsia"/>
          <w:color w:val="auto"/>
          <w:highlight w:val="none"/>
        </w:rPr>
        <w:t>投标人信用信息查询</w:t>
      </w:r>
      <w:bookmarkEnd w:id="802"/>
      <w:bookmarkEnd w:id="803"/>
      <w:bookmarkEnd w:id="804"/>
      <w:bookmarkEnd w:id="805"/>
      <w:bookmarkEnd w:id="806"/>
      <w:bookmarkEnd w:id="807"/>
    </w:p>
    <w:p>
      <w:pPr>
        <w:pStyle w:val="41"/>
        <w:numPr>
          <w:ilvl w:val="1"/>
          <w:numId w:val="0"/>
        </w:numPr>
        <w:ind w:firstLine="480" w:firstLineChars="200"/>
        <w:rPr>
          <w:color w:val="auto"/>
          <w:highlight w:val="none"/>
        </w:rPr>
      </w:pPr>
      <w:r>
        <w:rPr>
          <w:rFonts w:hint="eastAsia"/>
          <w:color w:val="auto"/>
          <w:highlight w:val="none"/>
        </w:rPr>
        <w:t>1.投标人信用信息查询渠道</w:t>
      </w:r>
    </w:p>
    <w:p>
      <w:pPr>
        <w:pStyle w:val="35"/>
        <w:rPr>
          <w:color w:val="auto"/>
          <w:highlight w:val="none"/>
        </w:rPr>
      </w:pPr>
      <w:r>
        <w:rPr>
          <w:rFonts w:hint="eastAsia"/>
          <w:color w:val="auto"/>
          <w:highlight w:val="none"/>
        </w:rPr>
        <w:t>“信用中国”网站(www.creditchina.gov.cn)、“中国政府采购网”(www.ccgp.gov.cn)等。</w:t>
      </w:r>
    </w:p>
    <w:p>
      <w:pPr>
        <w:pStyle w:val="41"/>
        <w:numPr>
          <w:ilvl w:val="1"/>
          <w:numId w:val="0"/>
        </w:numPr>
        <w:ind w:firstLine="480" w:firstLineChars="200"/>
        <w:rPr>
          <w:color w:val="auto"/>
          <w:highlight w:val="none"/>
        </w:rPr>
      </w:pPr>
      <w:r>
        <w:rPr>
          <w:rFonts w:hint="eastAsia"/>
          <w:color w:val="auto"/>
          <w:highlight w:val="none"/>
        </w:rPr>
        <w:t>2.投标人信用信息查询截止时点</w:t>
      </w:r>
    </w:p>
    <w:p>
      <w:pPr>
        <w:pStyle w:val="35"/>
        <w:rPr>
          <w:color w:val="auto"/>
          <w:highlight w:val="none"/>
        </w:rPr>
      </w:pPr>
      <w:r>
        <w:rPr>
          <w:rFonts w:hint="eastAsia"/>
          <w:color w:val="auto"/>
          <w:highlight w:val="none"/>
        </w:rPr>
        <w:t>信用信息查询在资格审查阶段完成。</w:t>
      </w:r>
    </w:p>
    <w:p>
      <w:pPr>
        <w:pStyle w:val="41"/>
        <w:numPr>
          <w:ilvl w:val="1"/>
          <w:numId w:val="0"/>
        </w:numPr>
        <w:ind w:firstLine="480" w:firstLineChars="200"/>
        <w:rPr>
          <w:color w:val="auto"/>
          <w:highlight w:val="none"/>
        </w:rPr>
      </w:pPr>
      <w:r>
        <w:rPr>
          <w:rFonts w:hint="eastAsia"/>
          <w:color w:val="auto"/>
          <w:highlight w:val="none"/>
        </w:rPr>
        <w:t>3.投标人信用信息查询记录和证据留存的具体方式</w:t>
      </w:r>
    </w:p>
    <w:p>
      <w:pPr>
        <w:pStyle w:val="35"/>
        <w:rPr>
          <w:color w:val="auto"/>
          <w:highlight w:val="none"/>
        </w:rPr>
      </w:pPr>
      <w:r>
        <w:rPr>
          <w:rFonts w:hint="eastAsia"/>
          <w:color w:val="auto"/>
          <w:highlight w:val="none"/>
        </w:rPr>
        <w:t>采购代理机构通过“信用中国”网站、“中国政府采购网”等渠道对供应商进行信用记录查询，并将查询记录存档。</w:t>
      </w:r>
    </w:p>
    <w:p>
      <w:pPr>
        <w:pStyle w:val="41"/>
        <w:numPr>
          <w:ilvl w:val="1"/>
          <w:numId w:val="0"/>
        </w:numPr>
        <w:ind w:firstLine="480" w:firstLineChars="200"/>
        <w:rPr>
          <w:color w:val="auto"/>
          <w:highlight w:val="none"/>
        </w:rPr>
      </w:pPr>
      <w:r>
        <w:rPr>
          <w:rFonts w:hint="eastAsia"/>
          <w:color w:val="auto"/>
          <w:highlight w:val="none"/>
        </w:rPr>
        <w:t>4.投标人信用信息的使用：凡被列入失信被执行人、重大税收违法案件当事人名单、政府采购严重违法失信行为记录名单的，视为存在不良信用记录，参与本项目的将被拒绝。</w:t>
      </w:r>
    </w:p>
    <w:p>
      <w:pPr>
        <w:pStyle w:val="33"/>
        <w:numPr>
          <w:ilvl w:val="2"/>
          <w:numId w:val="17"/>
        </w:numPr>
        <w:ind w:firstLine="482"/>
        <w:rPr>
          <w:color w:val="auto"/>
          <w:highlight w:val="none"/>
        </w:rPr>
      </w:pPr>
      <w:bookmarkStart w:id="808" w:name="_Toc5438"/>
      <w:bookmarkStart w:id="809" w:name="_Toc18206"/>
      <w:r>
        <w:rPr>
          <w:rFonts w:hint="eastAsia"/>
          <w:color w:val="auto"/>
          <w:highlight w:val="none"/>
        </w:rPr>
        <w:t>保密</w:t>
      </w:r>
      <w:bookmarkEnd w:id="808"/>
      <w:bookmarkEnd w:id="809"/>
    </w:p>
    <w:p>
      <w:pPr>
        <w:pStyle w:val="11"/>
        <w:tabs>
          <w:tab w:val="left" w:pos="1134"/>
          <w:tab w:val="clear" w:pos="0"/>
        </w:tabs>
        <w:ind w:firstLine="480"/>
        <w:rPr>
          <w:color w:val="auto"/>
          <w:highlight w:val="none"/>
        </w:rPr>
      </w:pPr>
      <w:r>
        <w:rPr>
          <w:rFonts w:hint="eastAsia"/>
          <w:color w:val="auto"/>
          <w:highlight w:val="none"/>
        </w:rPr>
        <w:t>1.各采购当事人不得透露有关成功获取采购文件的潜在投标人的任何情况。</w:t>
      </w:r>
    </w:p>
    <w:p>
      <w:pPr>
        <w:pStyle w:val="11"/>
        <w:tabs>
          <w:tab w:val="left" w:pos="1134"/>
          <w:tab w:val="clear" w:pos="0"/>
        </w:tabs>
        <w:ind w:firstLine="480"/>
        <w:rPr>
          <w:color w:val="auto"/>
          <w:highlight w:val="none"/>
        </w:rPr>
      </w:pPr>
      <w:r>
        <w:rPr>
          <w:rFonts w:hint="eastAsia"/>
          <w:color w:val="auto"/>
          <w:highlight w:val="none"/>
        </w:rPr>
        <w:t>2.投标人有关投标文件的审查、澄清、评估和比较以及合同授予意向等情况均不得对外透露。</w:t>
      </w:r>
    </w:p>
    <w:p>
      <w:pPr>
        <w:pStyle w:val="33"/>
        <w:numPr>
          <w:ilvl w:val="2"/>
          <w:numId w:val="17"/>
        </w:numPr>
        <w:ind w:firstLine="482"/>
        <w:rPr>
          <w:color w:val="auto"/>
          <w:highlight w:val="none"/>
        </w:rPr>
      </w:pPr>
      <w:bookmarkStart w:id="810" w:name="_Toc9400"/>
      <w:bookmarkStart w:id="811" w:name="_Toc12968"/>
      <w:r>
        <w:rPr>
          <w:rFonts w:hint="eastAsia"/>
          <w:color w:val="auto"/>
          <w:highlight w:val="none"/>
        </w:rPr>
        <w:t>回避</w:t>
      </w:r>
      <w:bookmarkEnd w:id="810"/>
      <w:bookmarkEnd w:id="811"/>
    </w:p>
    <w:p>
      <w:pPr>
        <w:pStyle w:val="41"/>
        <w:numPr>
          <w:ilvl w:val="1"/>
          <w:numId w:val="0"/>
        </w:numPr>
        <w:ind w:firstLine="480" w:firstLineChars="200"/>
        <w:rPr>
          <w:color w:val="auto"/>
          <w:highlight w:val="none"/>
        </w:rPr>
      </w:pPr>
      <w:r>
        <w:rPr>
          <w:rFonts w:hint="eastAsia"/>
          <w:color w:val="auto"/>
          <w:highlight w:val="none"/>
        </w:rPr>
        <w:t>在政府采购活动中，采购人员及相关人员与供应商有下列利害关系之一的，应当回避：</w:t>
      </w:r>
    </w:p>
    <w:p>
      <w:pPr>
        <w:pStyle w:val="41"/>
        <w:numPr>
          <w:ilvl w:val="1"/>
          <w:numId w:val="0"/>
        </w:numPr>
        <w:ind w:firstLine="480" w:firstLineChars="200"/>
        <w:rPr>
          <w:color w:val="auto"/>
          <w:highlight w:val="none"/>
        </w:rPr>
      </w:pPr>
      <w:r>
        <w:rPr>
          <w:rFonts w:hint="eastAsia"/>
          <w:color w:val="auto"/>
          <w:highlight w:val="none"/>
        </w:rPr>
        <w:t>1.参加采购活动前3年内与供应商存在劳动关系；</w:t>
      </w:r>
    </w:p>
    <w:p>
      <w:pPr>
        <w:pStyle w:val="41"/>
        <w:numPr>
          <w:ilvl w:val="1"/>
          <w:numId w:val="0"/>
        </w:numPr>
        <w:ind w:firstLine="480" w:firstLineChars="200"/>
        <w:rPr>
          <w:color w:val="auto"/>
          <w:highlight w:val="none"/>
        </w:rPr>
      </w:pPr>
      <w:r>
        <w:rPr>
          <w:rFonts w:hint="eastAsia"/>
          <w:color w:val="auto"/>
          <w:highlight w:val="none"/>
        </w:rPr>
        <w:t>2.参加采购活动前3年内担任供应商的董事、监事；</w:t>
      </w:r>
    </w:p>
    <w:p>
      <w:pPr>
        <w:pStyle w:val="41"/>
        <w:numPr>
          <w:ilvl w:val="1"/>
          <w:numId w:val="0"/>
        </w:numPr>
        <w:ind w:firstLine="480" w:firstLineChars="200"/>
        <w:rPr>
          <w:color w:val="auto"/>
          <w:highlight w:val="none"/>
        </w:rPr>
      </w:pPr>
      <w:r>
        <w:rPr>
          <w:rFonts w:hint="eastAsia"/>
          <w:color w:val="auto"/>
          <w:highlight w:val="none"/>
        </w:rPr>
        <w:t>3.参加采购活动前3年内是供应商的控股股东或者实际控制人；</w:t>
      </w:r>
    </w:p>
    <w:p>
      <w:pPr>
        <w:pStyle w:val="41"/>
        <w:numPr>
          <w:ilvl w:val="1"/>
          <w:numId w:val="0"/>
        </w:numPr>
        <w:ind w:firstLine="480" w:firstLineChars="200"/>
        <w:rPr>
          <w:color w:val="auto"/>
          <w:highlight w:val="none"/>
        </w:rPr>
      </w:pPr>
      <w:r>
        <w:rPr>
          <w:rFonts w:hint="eastAsia"/>
          <w:color w:val="auto"/>
          <w:highlight w:val="none"/>
        </w:rPr>
        <w:t>4.与供应商的法定代表人或者负责人有夫妻、直系血亲、三代以内旁系血亲或者近姻亲关系；</w:t>
      </w:r>
    </w:p>
    <w:p>
      <w:pPr>
        <w:pStyle w:val="41"/>
        <w:numPr>
          <w:ilvl w:val="1"/>
          <w:numId w:val="0"/>
        </w:numPr>
        <w:ind w:firstLine="480" w:firstLineChars="200"/>
        <w:rPr>
          <w:color w:val="auto"/>
          <w:highlight w:val="none"/>
        </w:rPr>
      </w:pPr>
      <w:r>
        <w:rPr>
          <w:rFonts w:hint="eastAsia"/>
          <w:color w:val="auto"/>
          <w:highlight w:val="none"/>
        </w:rPr>
        <w:t>5.与供应商有其他可能影响政府采购活动公平、公正进行的关系。</w:t>
      </w:r>
    </w:p>
    <w:p>
      <w:pPr>
        <w:pStyle w:val="41"/>
        <w:numPr>
          <w:ilvl w:val="1"/>
          <w:numId w:val="0"/>
        </w:numPr>
        <w:ind w:firstLine="480" w:firstLineChars="200"/>
        <w:rPr>
          <w:color w:val="auto"/>
          <w:highlight w:val="none"/>
        </w:rPr>
      </w:pPr>
      <w:r>
        <w:rPr>
          <w:rFonts w:hint="eastAsia"/>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33"/>
        <w:numPr>
          <w:ilvl w:val="2"/>
          <w:numId w:val="17"/>
        </w:numPr>
        <w:ind w:firstLine="482"/>
        <w:rPr>
          <w:color w:val="auto"/>
          <w:highlight w:val="none"/>
        </w:rPr>
      </w:pPr>
      <w:bookmarkStart w:id="812" w:name="_Toc17015"/>
      <w:r>
        <w:rPr>
          <w:rFonts w:hint="eastAsia"/>
          <w:color w:val="auto"/>
          <w:highlight w:val="none"/>
        </w:rPr>
        <w:t>解释说明</w:t>
      </w:r>
      <w:bookmarkEnd w:id="812"/>
    </w:p>
    <w:p>
      <w:pPr>
        <w:pStyle w:val="41"/>
        <w:numPr>
          <w:ilvl w:val="1"/>
          <w:numId w:val="0"/>
        </w:numPr>
        <w:ind w:firstLine="480" w:firstLineChars="200"/>
        <w:rPr>
          <w:color w:val="auto"/>
          <w:highlight w:val="none"/>
        </w:rPr>
      </w:pPr>
      <w:r>
        <w:rPr>
          <w:rFonts w:hint="eastAsia"/>
          <w:color w:val="auto"/>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41"/>
        <w:numPr>
          <w:ilvl w:val="1"/>
          <w:numId w:val="0"/>
        </w:numPr>
        <w:ind w:firstLine="480" w:firstLineChars="200"/>
        <w:rPr>
          <w:color w:val="auto"/>
          <w:highlight w:val="none"/>
        </w:rPr>
      </w:pPr>
      <w:r>
        <w:rPr>
          <w:rFonts w:hint="eastAsia"/>
          <w:color w:val="auto"/>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41"/>
        <w:numPr>
          <w:ilvl w:val="1"/>
          <w:numId w:val="0"/>
        </w:numPr>
        <w:ind w:firstLine="480" w:firstLineChars="200"/>
        <w:rPr>
          <w:color w:val="auto"/>
          <w:highlight w:val="none"/>
        </w:rPr>
      </w:pPr>
      <w:r>
        <w:rPr>
          <w:rFonts w:hint="eastAsia"/>
          <w:color w:val="auto"/>
          <w:highlight w:val="none"/>
        </w:rPr>
        <w:t>3.国家或行业主管部门对供应商和采购产品的技术标准、质量标准和资格资质条件等有强制性规定的，必须符合其要求</w:t>
      </w:r>
      <w:r>
        <w:rPr>
          <w:rFonts w:hint="eastAsia"/>
          <w:b/>
          <w:bCs/>
          <w:color w:val="auto"/>
          <w:highlight w:val="none"/>
        </w:rPr>
        <w:t>(实质性要求)</w:t>
      </w:r>
      <w:r>
        <w:rPr>
          <w:rFonts w:hint="eastAsia"/>
          <w:color w:val="auto"/>
          <w:highlight w:val="none"/>
        </w:rPr>
        <w:t>。</w:t>
      </w:r>
    </w:p>
    <w:p>
      <w:pPr>
        <w:pStyle w:val="41"/>
        <w:numPr>
          <w:ilvl w:val="1"/>
          <w:numId w:val="0"/>
        </w:numPr>
        <w:ind w:firstLine="480" w:firstLineChars="200"/>
        <w:rPr>
          <w:color w:val="auto"/>
          <w:highlight w:val="none"/>
        </w:rPr>
      </w:pPr>
      <w:r>
        <w:rPr>
          <w:rFonts w:hint="eastAsia"/>
          <w:color w:val="auto"/>
          <w:highlight w:val="none"/>
        </w:rPr>
        <w:t>4.</w:t>
      </w:r>
      <w:r>
        <w:rPr>
          <w:rFonts w:hint="eastAsia" w:cs="宋体"/>
          <w:color w:val="auto"/>
          <w:highlight w:val="none"/>
        </w:rPr>
        <w:t>本项目涉及企业资质、产品认证、人员执业资格等描述与国家最新要求不一致时以最新要求为准。</w:t>
      </w:r>
    </w:p>
    <w:p>
      <w:pPr>
        <w:pStyle w:val="30"/>
        <w:numPr>
          <w:ilvl w:val="0"/>
          <w:numId w:val="11"/>
        </w:numPr>
        <w:spacing w:before="120" w:after="120"/>
        <w:rPr>
          <w:color w:val="auto"/>
          <w:highlight w:val="none"/>
        </w:rPr>
      </w:pPr>
      <w:r>
        <w:rPr>
          <w:rFonts w:hint="eastAsia"/>
          <w:color w:val="auto"/>
          <w:highlight w:val="none"/>
        </w:rPr>
        <w:br w:type="page"/>
      </w:r>
      <w:bookmarkEnd w:id="791"/>
      <w:bookmarkStart w:id="813" w:name="_Toc31402"/>
      <w:bookmarkStart w:id="814" w:name="_Toc29575"/>
      <w:bookmarkStart w:id="815" w:name="_Toc25961"/>
      <w:bookmarkStart w:id="816" w:name="_Toc30772"/>
      <w:bookmarkStart w:id="817" w:name="_Toc4206"/>
      <w:r>
        <w:rPr>
          <w:rFonts w:hint="eastAsia"/>
          <w:color w:val="auto"/>
          <w:highlight w:val="none"/>
        </w:rPr>
        <w:t>投标文件格式</w:t>
      </w:r>
      <w:bookmarkEnd w:id="813"/>
      <w:bookmarkEnd w:id="814"/>
      <w:bookmarkEnd w:id="815"/>
      <w:bookmarkEnd w:id="816"/>
      <w:bookmarkEnd w:id="817"/>
    </w:p>
    <w:p>
      <w:pPr>
        <w:pStyle w:val="54"/>
        <w:ind w:firstLine="480"/>
        <w:rPr>
          <w:color w:val="auto"/>
          <w:highlight w:val="none"/>
        </w:rPr>
      </w:pPr>
      <w:bookmarkStart w:id="818" w:name="_Toc182759327"/>
      <w:bookmarkStart w:id="819" w:name="_Toc316462354"/>
      <w:bookmarkStart w:id="820" w:name="_Toc294688711"/>
      <w:bookmarkStart w:id="821" w:name="_Toc211218954"/>
      <w:bookmarkStart w:id="822" w:name="_Toc287367101"/>
      <w:bookmarkStart w:id="823" w:name="_Toc182629023"/>
      <w:bookmarkStart w:id="824" w:name="_Toc16460"/>
      <w:bookmarkStart w:id="825" w:name="_Toc439161746"/>
      <w:bookmarkStart w:id="826" w:name="_Toc295978802"/>
      <w:bookmarkStart w:id="827" w:name="_Toc294701519"/>
      <w:r>
        <w:rPr>
          <w:rFonts w:hint="eastAsia"/>
          <w:color w:val="auto"/>
          <w:highlight w:val="none"/>
        </w:rPr>
        <w:t>一、本章所制投标文件格式，除格式中明确将该格式作为实质性要求的，一律不具有强制性。</w:t>
      </w:r>
    </w:p>
    <w:p>
      <w:pPr>
        <w:pStyle w:val="54"/>
        <w:ind w:firstLine="480"/>
        <w:rPr>
          <w:color w:val="auto"/>
          <w:highlight w:val="none"/>
        </w:rPr>
      </w:pPr>
      <w:r>
        <w:rPr>
          <w:rFonts w:hint="eastAsia"/>
          <w:color w:val="auto"/>
          <w:highlight w:val="none"/>
        </w:rPr>
        <w:t>二、本章所制投标文件格式有关表格中的备注栏，由投标人根据自身投标情况作解释性说明，不作为必填项。</w:t>
      </w:r>
    </w:p>
    <w:p>
      <w:pPr>
        <w:pStyle w:val="54"/>
        <w:ind w:firstLine="480"/>
        <w:rPr>
          <w:color w:val="auto"/>
          <w:highlight w:val="none"/>
        </w:rPr>
      </w:pPr>
      <w:r>
        <w:rPr>
          <w:rFonts w:hint="eastAsia"/>
          <w:color w:val="auto"/>
          <w:highlight w:val="none"/>
        </w:rPr>
        <w:t>三、本章格式中“注”的内容，供应商可自行决定是否保留在投标文件中，未保留的视为供应商默认接受“注”的内容。</w:t>
      </w:r>
    </w:p>
    <w:p>
      <w:pPr>
        <w:pStyle w:val="54"/>
        <w:ind w:firstLine="480"/>
        <w:rPr>
          <w:color w:val="auto"/>
          <w:highlight w:val="none"/>
        </w:rPr>
      </w:pPr>
      <w:r>
        <w:rPr>
          <w:rFonts w:hint="eastAsia"/>
          <w:color w:val="auto"/>
          <w:highlight w:val="none"/>
        </w:rPr>
        <w:t>四、本章所制投标文件格式中需要填写的相关内容事项，可能会与本采购项目无关，在不改变投标文件原义、不影响本项目采购需求的情况下，投标人可以不予填写，但应当注明。</w:t>
      </w:r>
    </w:p>
    <w:p>
      <w:pPr>
        <w:pStyle w:val="31"/>
        <w:rPr>
          <w:color w:val="auto"/>
          <w:highlight w:val="none"/>
        </w:rPr>
      </w:pPr>
      <w:r>
        <w:rPr>
          <w:rFonts w:hint="eastAsia"/>
          <w:color w:val="auto"/>
          <w:highlight w:val="none"/>
        </w:rPr>
        <w:br w:type="page"/>
      </w:r>
    </w:p>
    <w:p>
      <w:pPr>
        <w:pStyle w:val="42"/>
        <w:rPr>
          <w:color w:val="auto"/>
          <w:highlight w:val="none"/>
        </w:rPr>
      </w:pPr>
      <w:r>
        <w:rPr>
          <w:rFonts w:hint="eastAsia"/>
          <w:color w:val="auto"/>
          <w:highlight w:val="none"/>
        </w:rPr>
        <w:t>附件：密封袋的格式</w:t>
      </w:r>
    </w:p>
    <w:p>
      <w:pPr>
        <w:pStyle w:val="42"/>
        <w:rPr>
          <w:color w:val="auto"/>
          <w:highlight w:val="none"/>
        </w:rPr>
      </w:pPr>
    </w:p>
    <w:p>
      <w:pPr>
        <w:pStyle w:val="42"/>
        <w:rPr>
          <w:color w:val="auto"/>
          <w:highlight w:val="none"/>
        </w:rPr>
      </w:pPr>
    </w:p>
    <w:p>
      <w:pPr>
        <w:pStyle w:val="42"/>
        <w:rPr>
          <w:color w:val="auto"/>
          <w:highlight w:val="none"/>
        </w:rPr>
      </w:pPr>
    </w:p>
    <w:tbl>
      <w:tblPr>
        <w:tblStyle w:val="23"/>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2"/>
              <w:rPr>
                <w:color w:val="auto"/>
                <w:highlight w:val="none"/>
              </w:rPr>
            </w:pPr>
          </w:p>
          <w:p>
            <w:pPr>
              <w:pStyle w:val="42"/>
              <w:ind w:left="2400" w:leftChars="1000"/>
              <w:rPr>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2"/>
              <w:ind w:left="2400" w:leftChars="1000"/>
              <w:rPr>
                <w:color w:val="auto"/>
                <w:highlight w:val="none"/>
              </w:rPr>
            </w:pPr>
            <w:r>
              <w:rPr>
                <w:rFonts w:hint="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2"/>
              <w:rPr>
                <w:color w:val="auto"/>
                <w:highlight w:val="none"/>
              </w:rPr>
            </w:pPr>
          </w:p>
          <w:p>
            <w:pPr>
              <w:pStyle w:val="42"/>
              <w:jc w:val="center"/>
              <w:rPr>
                <w:b/>
                <w:bCs/>
                <w:color w:val="auto"/>
                <w:sz w:val="32"/>
                <w:szCs w:val="32"/>
                <w:highlight w:val="none"/>
              </w:rPr>
            </w:pPr>
            <w:r>
              <w:rPr>
                <w:rFonts w:hint="eastAsia"/>
                <w:b/>
                <w:bCs/>
                <w:color w:val="auto"/>
                <w:sz w:val="32"/>
                <w:szCs w:val="32"/>
                <w:highlight w:val="none"/>
              </w:rPr>
              <w:t>资格、资质性及其他类似效力投标文件/其他投标文件</w:t>
            </w:r>
          </w:p>
          <w:p>
            <w:pPr>
              <w:pStyle w:val="42"/>
              <w:jc w:val="center"/>
              <w:rPr>
                <w:b/>
                <w:bCs/>
                <w:color w:val="auto"/>
                <w:sz w:val="32"/>
                <w:szCs w:val="32"/>
                <w:highlight w:val="none"/>
              </w:rPr>
            </w:pPr>
            <w:r>
              <w:rPr>
                <w:rFonts w:hint="eastAsia"/>
                <w:b/>
                <w:bCs/>
                <w:color w:val="auto"/>
                <w:sz w:val="32"/>
                <w:szCs w:val="32"/>
                <w:highlight w:val="none"/>
              </w:rPr>
              <w:t>/开标一览表</w:t>
            </w:r>
          </w:p>
          <w:p>
            <w:pPr>
              <w:pStyle w:val="42"/>
              <w:rPr>
                <w:color w:val="auto"/>
                <w:highlight w:val="none"/>
              </w:rPr>
            </w:pPr>
          </w:p>
          <w:p>
            <w:pPr>
              <w:pStyle w:val="42"/>
              <w:ind w:left="2400" w:leftChars="1000"/>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2"/>
              <w:ind w:left="2400" w:leftChars="1000"/>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2"/>
              <w:rPr>
                <w:color w:val="auto"/>
                <w:highlight w:val="none"/>
              </w:rPr>
            </w:pPr>
          </w:p>
        </w:tc>
      </w:tr>
    </w:tbl>
    <w:p>
      <w:pPr>
        <w:pStyle w:val="42"/>
        <w:rPr>
          <w:color w:val="auto"/>
          <w:highlight w:val="none"/>
        </w:rPr>
      </w:pPr>
      <w:bookmarkStart w:id="828" w:name="_Toc6994"/>
      <w:bookmarkStart w:id="829" w:name="_Toc11581"/>
      <w:r>
        <w:rPr>
          <w:rFonts w:hint="eastAsia"/>
          <w:color w:val="auto"/>
          <w:highlight w:val="none"/>
        </w:rPr>
        <w:br w:type="page"/>
      </w:r>
    </w:p>
    <w:p>
      <w:pPr>
        <w:pStyle w:val="42"/>
        <w:rPr>
          <w:color w:val="auto"/>
          <w:highlight w:val="none"/>
        </w:rPr>
      </w:pPr>
      <w:r>
        <w:rPr>
          <w:rFonts w:hint="eastAsia"/>
          <w:color w:val="auto"/>
          <w:highlight w:val="none"/>
        </w:rPr>
        <w:t>投标文件封面格式</w:t>
      </w:r>
      <w:bookmarkEnd w:id="818"/>
      <w:bookmarkEnd w:id="819"/>
      <w:bookmarkEnd w:id="820"/>
      <w:bookmarkEnd w:id="821"/>
      <w:bookmarkEnd w:id="822"/>
      <w:bookmarkEnd w:id="823"/>
      <w:bookmarkEnd w:id="824"/>
      <w:bookmarkEnd w:id="825"/>
      <w:bookmarkEnd w:id="826"/>
      <w:bookmarkEnd w:id="827"/>
      <w:bookmarkEnd w:id="828"/>
      <w:bookmarkEnd w:id="829"/>
    </w:p>
    <w:p>
      <w:pPr>
        <w:pStyle w:val="42"/>
        <w:rPr>
          <w:color w:val="auto"/>
          <w:highlight w:val="none"/>
        </w:rPr>
      </w:pPr>
      <w:r>
        <w:rPr>
          <w:rFonts w:hint="eastAsia"/>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1312;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2"/>
        <w:rPr>
          <w:color w:val="auto"/>
          <w:highlight w:val="none"/>
        </w:rPr>
      </w:pPr>
    </w:p>
    <w:p>
      <w:pPr>
        <w:pStyle w:val="42"/>
        <w:rPr>
          <w:color w:val="auto"/>
          <w:highlight w:val="none"/>
        </w:rPr>
      </w:pPr>
    </w:p>
    <w:p>
      <w:pPr>
        <w:pStyle w:val="42"/>
        <w:rPr>
          <w:color w:val="auto"/>
          <w:highlight w:val="none"/>
        </w:rPr>
      </w:pPr>
    </w:p>
    <w:p>
      <w:pPr>
        <w:pStyle w:val="42"/>
        <w:spacing w:line="360" w:lineRule="auto"/>
        <w:jc w:val="center"/>
        <w:rPr>
          <w:b/>
          <w:bCs/>
          <w:color w:val="auto"/>
          <w:sz w:val="48"/>
          <w:szCs w:val="48"/>
          <w:highlight w:val="none"/>
        </w:rPr>
      </w:pPr>
    </w:p>
    <w:p>
      <w:pPr>
        <w:pStyle w:val="42"/>
        <w:spacing w:line="360" w:lineRule="auto"/>
        <w:jc w:val="center"/>
        <w:rPr>
          <w:b/>
          <w:bCs/>
          <w:color w:val="auto"/>
          <w:sz w:val="48"/>
          <w:szCs w:val="48"/>
          <w:highlight w:val="none"/>
        </w:rPr>
      </w:pPr>
      <w:r>
        <w:rPr>
          <w:rFonts w:hint="eastAsia"/>
          <w:b/>
          <w:bCs/>
          <w:color w:val="auto"/>
          <w:sz w:val="48"/>
          <w:szCs w:val="48"/>
          <w:highlight w:val="none"/>
        </w:rPr>
        <w:t>资格、资质性及其他类似效力投标文件</w:t>
      </w:r>
    </w:p>
    <w:p>
      <w:pPr>
        <w:pStyle w:val="42"/>
        <w:spacing w:line="360" w:lineRule="auto"/>
        <w:jc w:val="center"/>
        <w:rPr>
          <w:b/>
          <w:bCs/>
          <w:color w:val="auto"/>
          <w:sz w:val="48"/>
          <w:szCs w:val="48"/>
          <w:highlight w:val="none"/>
        </w:rPr>
      </w:pPr>
      <w:r>
        <w:rPr>
          <w:rFonts w:hint="eastAsia"/>
          <w:b/>
          <w:bCs/>
          <w:color w:val="auto"/>
          <w:sz w:val="48"/>
          <w:szCs w:val="48"/>
          <w:highlight w:val="none"/>
        </w:rPr>
        <w:t>/其他投标文件</w:t>
      </w:r>
    </w:p>
    <w:p>
      <w:pPr>
        <w:pStyle w:val="42"/>
        <w:rPr>
          <w:color w:val="auto"/>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p>
    <w:p>
      <w:pPr>
        <w:pStyle w:val="42"/>
        <w:spacing w:line="480" w:lineRule="auto"/>
        <w:ind w:left="2400" w:leftChars="1000"/>
        <w:rPr>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2"/>
        <w:spacing w:line="480" w:lineRule="auto"/>
        <w:ind w:left="2400" w:leftChars="1000"/>
        <w:rPr>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2"/>
        <w:spacing w:line="480" w:lineRule="auto"/>
        <w:ind w:left="2400" w:leftChars="1000"/>
        <w:rPr>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2"/>
        <w:spacing w:line="480" w:lineRule="auto"/>
        <w:ind w:left="2400" w:leftChars="1000"/>
        <w:rPr>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31"/>
        <w:rPr>
          <w:color w:val="auto"/>
          <w:highlight w:val="none"/>
        </w:rPr>
      </w:pPr>
      <w:bookmarkStart w:id="830" w:name="_Toc31011"/>
      <w:bookmarkStart w:id="831" w:name="_Toc11556"/>
      <w:bookmarkStart w:id="832" w:name="_Toc5306"/>
      <w:bookmarkStart w:id="833" w:name="_Toc5565"/>
      <w:r>
        <w:rPr>
          <w:rFonts w:hint="eastAsia"/>
          <w:color w:val="auto"/>
          <w:highlight w:val="none"/>
        </w:rPr>
        <w:br w:type="page"/>
      </w:r>
    </w:p>
    <w:bookmarkEnd w:id="830"/>
    <w:bookmarkEnd w:id="831"/>
    <w:bookmarkEnd w:id="832"/>
    <w:bookmarkEnd w:id="833"/>
    <w:p>
      <w:pPr>
        <w:pStyle w:val="31"/>
        <w:rPr>
          <w:color w:val="auto"/>
          <w:highlight w:val="none"/>
        </w:rPr>
      </w:pPr>
      <w:bookmarkStart w:id="834" w:name="_Toc15611"/>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bookmarkStart w:id="835" w:name="_Toc24630"/>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2"/>
        <w:numPr>
          <w:ilvl w:val="1"/>
          <w:numId w:val="0"/>
        </w:numPr>
        <w:spacing w:before="480" w:beforeLines="200"/>
        <w:jc w:val="center"/>
        <w:rPr>
          <w:color w:val="auto"/>
          <w:sz w:val="32"/>
          <w:szCs w:val="32"/>
          <w:highlight w:val="none"/>
        </w:rPr>
      </w:pPr>
      <w:bookmarkStart w:id="836" w:name="_Toc21038"/>
      <w:r>
        <w:rPr>
          <w:rFonts w:hint="eastAsia"/>
          <w:color w:val="auto"/>
          <w:sz w:val="32"/>
          <w:szCs w:val="32"/>
          <w:highlight w:val="none"/>
        </w:rPr>
        <w:t>第一部分 资格、资质性及其他类似效力投标文件(格式)</w:t>
      </w:r>
      <w:bookmarkEnd w:id="834"/>
      <w:bookmarkEnd w:id="835"/>
      <w:bookmarkEnd w:id="836"/>
      <w:bookmarkStart w:id="837" w:name="_Toc16168"/>
      <w:bookmarkStart w:id="838" w:name="_Toc23537"/>
    </w:p>
    <w:p>
      <w:pPr>
        <w:pStyle w:val="31"/>
        <w:rPr>
          <w:color w:val="auto"/>
          <w:highlight w:val="none"/>
        </w:rPr>
      </w:pPr>
      <w:r>
        <w:rPr>
          <w:rFonts w:hint="eastAsia"/>
          <w:color w:val="auto"/>
          <w:highlight w:val="none"/>
        </w:rPr>
        <w:br w:type="page"/>
      </w:r>
      <w:bookmarkEnd w:id="837"/>
      <w:bookmarkEnd w:id="838"/>
      <w:bookmarkStart w:id="839" w:name="_Toc4996"/>
      <w:bookmarkStart w:id="840" w:name="_Toc26837"/>
    </w:p>
    <w:bookmarkEnd w:id="839"/>
    <w:bookmarkEnd w:id="840"/>
    <w:p>
      <w:pPr>
        <w:pStyle w:val="51"/>
        <w:numPr>
          <w:ilvl w:val="0"/>
          <w:numId w:val="18"/>
        </w:numPr>
        <w:spacing w:before="120" w:after="120"/>
        <w:ind w:firstLine="0"/>
        <w:rPr>
          <w:color w:val="auto"/>
          <w:highlight w:val="none"/>
        </w:rPr>
      </w:pPr>
      <w:bookmarkStart w:id="841" w:name="_Toc1967"/>
      <w:bookmarkStart w:id="842" w:name="_Toc4768"/>
      <w:r>
        <w:rPr>
          <w:rFonts w:hint="eastAsia"/>
          <w:color w:val="auto"/>
          <w:highlight w:val="none"/>
        </w:rPr>
        <w:t>法定代表人/单位负责人授权书</w:t>
      </w:r>
      <w:bookmarkEnd w:id="841"/>
      <w:bookmarkEnd w:id="842"/>
    </w:p>
    <w:p>
      <w:pPr>
        <w:pStyle w:val="31"/>
        <w:rPr>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(采购代理机构名称)：</w:t>
      </w:r>
    </w:p>
    <w:p>
      <w:pPr>
        <w:pStyle w:val="35"/>
        <w:rPr>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(法定代表人/单位负责人姓名、职务)授权</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(项目名称)(项目编号：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)”投标活动的合法代表，以我方名义全权处理该项目有关投标、签订合同以及执行合同等一切事宜，我单位均予承认，所产生的法律后果均由我单位承担。</w:t>
      </w:r>
    </w:p>
    <w:p>
      <w:pPr>
        <w:pStyle w:val="35"/>
        <w:rPr>
          <w:color w:val="auto"/>
          <w:highlight w:val="none"/>
        </w:rPr>
      </w:pPr>
      <w:r>
        <w:rPr>
          <w:rFonts w:hint="eastAsia"/>
          <w:color w:val="auto"/>
          <w:highlight w:val="none"/>
        </w:rPr>
        <w:t>特此声明。</w:t>
      </w: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法定代表人/单位负责人：</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5"/>
        <w:rPr>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1"/>
        <w:rPr>
          <w:color w:val="auto"/>
          <w:highlight w:val="none"/>
        </w:rPr>
      </w:pPr>
    </w:p>
    <w:p>
      <w:pPr>
        <w:pStyle w:val="53"/>
        <w:ind w:firstLine="482"/>
        <w:rPr>
          <w:color w:val="auto"/>
          <w:highlight w:val="none"/>
        </w:rPr>
      </w:pPr>
      <w:r>
        <w:rPr>
          <w:rFonts w:hint="eastAsia"/>
          <w:color w:val="auto"/>
          <w:highlight w:val="none"/>
        </w:rPr>
        <w:t>注：1.法定代表人/单位负责人不亲自参加投标，而授权代表参加投标的适用。</w:t>
      </w:r>
    </w:p>
    <w:p>
      <w:pPr>
        <w:pStyle w:val="53"/>
        <w:ind w:firstLine="482"/>
        <w:rPr>
          <w:color w:val="auto"/>
          <w:highlight w:val="none"/>
        </w:rPr>
      </w:pPr>
      <w:r>
        <w:rPr>
          <w:rFonts w:hint="eastAsia"/>
          <w:color w:val="auto"/>
          <w:highlight w:val="none"/>
        </w:rPr>
        <w:t>2.</w:t>
      </w:r>
      <w:r>
        <w:rPr>
          <w:color w:val="auto"/>
          <w:highlight w:val="none"/>
        </w:rPr>
        <w:t>供应商为法人单位时提供“法定代表人授权书”，供应商为其他组织时提供“负责人授权书”，供应商为自然人时提供“自然人身份证明材料”。</w:t>
      </w:r>
    </w:p>
    <w:p>
      <w:pPr>
        <w:pStyle w:val="53"/>
        <w:ind w:firstLine="482"/>
        <w:rPr>
          <w:color w:val="auto"/>
          <w:highlight w:val="none"/>
        </w:rPr>
      </w:pPr>
      <w:r>
        <w:rPr>
          <w:rFonts w:hint="eastAsia"/>
          <w:color w:val="auto"/>
          <w:highlight w:val="none"/>
        </w:rPr>
        <w:t>3.</w:t>
      </w:r>
      <w:r>
        <w:rPr>
          <w:color w:val="auto"/>
          <w:highlight w:val="none"/>
        </w:rPr>
        <w:t>应附法定代表人/单位负责人身份证明材料复印件和授权代表身份证明材料复印件。</w:t>
      </w:r>
    </w:p>
    <w:p>
      <w:pPr>
        <w:pStyle w:val="53"/>
        <w:ind w:firstLine="482"/>
        <w:rPr>
          <w:color w:val="auto"/>
          <w:highlight w:val="none"/>
        </w:rPr>
      </w:pPr>
      <w:r>
        <w:rPr>
          <w:rFonts w:hint="eastAsia"/>
          <w:color w:val="auto"/>
          <w:highlight w:val="none"/>
        </w:rPr>
        <w:t>4.</w:t>
      </w:r>
      <w:r>
        <w:rPr>
          <w:color w:val="auto"/>
          <w:highlight w:val="none"/>
        </w:rPr>
        <w:t>身份证明材料包括居民身份证或户口本或军官证或护照等。</w:t>
      </w:r>
    </w:p>
    <w:p>
      <w:pPr>
        <w:pStyle w:val="53"/>
        <w:ind w:firstLine="482"/>
        <w:rPr>
          <w:color w:val="auto"/>
          <w:highlight w:val="none"/>
        </w:rPr>
      </w:pPr>
      <w:r>
        <w:rPr>
          <w:rFonts w:hint="eastAsia"/>
          <w:color w:val="auto"/>
          <w:highlight w:val="none"/>
        </w:rPr>
        <w:t>5.</w:t>
      </w:r>
      <w:r>
        <w:rPr>
          <w:color w:val="auto"/>
          <w:highlight w:val="none"/>
        </w:rPr>
        <w:t>身份证明材料应同时提供其在有效期的材料，如居民身份证正、反面复印件</w:t>
      </w:r>
      <w:r>
        <w:rPr>
          <w:rFonts w:hint="eastAsia"/>
          <w:color w:val="auto"/>
          <w:highlight w:val="none"/>
        </w:rPr>
        <w:t>。</w:t>
      </w:r>
    </w:p>
    <w:p>
      <w:pPr>
        <w:pStyle w:val="31"/>
        <w:rPr>
          <w:color w:val="auto"/>
          <w:highlight w:val="none"/>
        </w:rPr>
      </w:pPr>
      <w:r>
        <w:rPr>
          <w:rFonts w:hint="eastAsia"/>
          <w:color w:val="auto"/>
          <w:highlight w:val="none"/>
        </w:rPr>
        <w:br w:type="page"/>
      </w:r>
    </w:p>
    <w:p>
      <w:pPr>
        <w:pStyle w:val="51"/>
        <w:numPr>
          <w:ilvl w:val="0"/>
          <w:numId w:val="19"/>
        </w:numPr>
        <w:spacing w:before="120" w:after="120"/>
        <w:ind w:left="2400" w:firstLine="0"/>
        <w:jc w:val="left"/>
        <w:rPr>
          <w:color w:val="auto"/>
          <w:highlight w:val="none"/>
        </w:rPr>
      </w:pPr>
      <w:bookmarkStart w:id="843" w:name="_Toc26195"/>
      <w:bookmarkStart w:id="844" w:name="_Toc9243"/>
      <w:bookmarkStart w:id="845" w:name="_Toc22140"/>
      <w:bookmarkStart w:id="846" w:name="_Toc5501"/>
      <w:bookmarkStart w:id="847" w:name="_Toc9688"/>
      <w:bookmarkStart w:id="848" w:name="_Toc4286"/>
      <w:r>
        <w:rPr>
          <w:rFonts w:hint="eastAsia"/>
          <w:color w:val="auto"/>
          <w:highlight w:val="none"/>
        </w:rPr>
        <w:t>法定代表人/单位负责人证明书</w:t>
      </w:r>
      <w:bookmarkEnd w:id="843"/>
      <w:bookmarkEnd w:id="844"/>
      <w:bookmarkEnd w:id="845"/>
      <w:bookmarkEnd w:id="846"/>
      <w:bookmarkEnd w:id="847"/>
      <w:bookmarkEnd w:id="848"/>
    </w:p>
    <w:p>
      <w:pPr>
        <w:pStyle w:val="35"/>
        <w:rPr>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rPr>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rPr>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rPr>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(投标人名称)的法定代表人/单位负责人。就参加你单位组织的“</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)”的投标活动、并参与项目的投标、签订合同以及执行合同等一切事宜，我单位均予承认，所产生的法律后果均由我单位承担。</w:t>
      </w:r>
    </w:p>
    <w:p>
      <w:pPr>
        <w:pStyle w:val="35"/>
        <w:rPr>
          <w:color w:val="auto"/>
          <w:highlight w:val="none"/>
        </w:rPr>
      </w:pPr>
      <w:r>
        <w:rPr>
          <w:rFonts w:hint="eastAsia"/>
          <w:color w:val="auto"/>
          <w:highlight w:val="none"/>
        </w:rPr>
        <w:t>特此证明。</w:t>
      </w: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 xml:space="preserve">(盖章) </w:t>
      </w:r>
    </w:p>
    <w:p>
      <w:pPr>
        <w:pStyle w:val="35"/>
        <w:rPr>
          <w:color w:val="auto"/>
          <w:highlight w:val="none"/>
        </w:rPr>
      </w:pPr>
      <w:r>
        <w:rPr>
          <w:rFonts w:hint="eastAsia"/>
          <w:color w:val="auto"/>
          <w:highlight w:val="none"/>
        </w:rPr>
        <w:t>法定代表人/单位负责人：</w:t>
      </w:r>
      <w:r>
        <w:rPr>
          <w:rFonts w:hint="eastAsia"/>
          <w:color w:val="auto"/>
          <w:highlight w:val="none"/>
          <w:u w:val="single"/>
        </w:rPr>
        <w:t xml:space="preserve">               </w:t>
      </w:r>
      <w:r>
        <w:rPr>
          <w:rFonts w:hint="eastAsia"/>
          <w:color w:val="auto"/>
          <w:highlight w:val="none"/>
        </w:rPr>
        <w:t>(签字或盖章)</w:t>
      </w:r>
    </w:p>
    <w:p>
      <w:pPr>
        <w:pStyle w:val="35"/>
        <w:rPr>
          <w:color w:val="auto"/>
          <w:highlight w:val="none"/>
          <w:u w:val="single"/>
        </w:rPr>
      </w:pPr>
      <w:r>
        <w:rPr>
          <w:rFonts w:hint="eastAsia"/>
          <w:color w:val="auto"/>
          <w:highlight w:val="none"/>
        </w:rPr>
        <w:t>投标日期：</w:t>
      </w:r>
      <w:r>
        <w:rPr>
          <w:rFonts w:hint="eastAsia"/>
          <w:color w:val="auto"/>
          <w:highlight w:val="none"/>
          <w:u w:val="single"/>
        </w:rPr>
        <w:t xml:space="preserve">             </w:t>
      </w:r>
    </w:p>
    <w:p>
      <w:pPr>
        <w:pStyle w:val="35"/>
        <w:rPr>
          <w:color w:val="auto"/>
          <w:highlight w:val="none"/>
        </w:rPr>
      </w:pPr>
    </w:p>
    <w:p>
      <w:pPr>
        <w:pStyle w:val="53"/>
        <w:ind w:firstLine="482"/>
        <w:rPr>
          <w:color w:val="auto"/>
          <w:highlight w:val="none"/>
        </w:rPr>
      </w:pPr>
      <w:r>
        <w:rPr>
          <w:rFonts w:hint="eastAsia"/>
          <w:color w:val="auto"/>
          <w:highlight w:val="none"/>
        </w:rPr>
        <w:t>注：1.法定代表人</w:t>
      </w:r>
      <w:r>
        <w:rPr>
          <w:color w:val="auto"/>
          <w:highlight w:val="none"/>
        </w:rPr>
        <w:t>/单位负责人</w:t>
      </w:r>
      <w:r>
        <w:rPr>
          <w:rFonts w:hint="eastAsia"/>
          <w:color w:val="auto"/>
          <w:highlight w:val="none"/>
        </w:rPr>
        <w:t>亲自参加投标时适用本证明书。</w:t>
      </w:r>
    </w:p>
    <w:p>
      <w:pPr>
        <w:pStyle w:val="53"/>
        <w:ind w:firstLine="482"/>
        <w:rPr>
          <w:color w:val="auto"/>
          <w:highlight w:val="none"/>
        </w:rPr>
      </w:pPr>
      <w:r>
        <w:rPr>
          <w:rFonts w:hint="eastAsia"/>
          <w:color w:val="auto"/>
          <w:highlight w:val="none"/>
        </w:rPr>
        <w:t>2.</w:t>
      </w:r>
      <w:r>
        <w:rPr>
          <w:color w:val="auto"/>
          <w:highlight w:val="none"/>
        </w:rPr>
        <w:t>应附法定代表人/单位负责人身份证明材料复印件。</w:t>
      </w:r>
    </w:p>
    <w:p>
      <w:pPr>
        <w:pStyle w:val="53"/>
        <w:ind w:firstLine="482"/>
        <w:rPr>
          <w:color w:val="auto"/>
          <w:highlight w:val="none"/>
        </w:rPr>
      </w:pPr>
      <w:r>
        <w:rPr>
          <w:rFonts w:hint="eastAsia"/>
          <w:color w:val="auto"/>
          <w:highlight w:val="none"/>
        </w:rPr>
        <w:t>3.</w:t>
      </w:r>
      <w:r>
        <w:rPr>
          <w:color w:val="auto"/>
          <w:highlight w:val="none"/>
        </w:rPr>
        <w:t>身份证明材料包括居民身份证或户口本或军官证或护照等。</w:t>
      </w:r>
    </w:p>
    <w:p>
      <w:pPr>
        <w:pStyle w:val="53"/>
        <w:ind w:firstLine="482"/>
        <w:rPr>
          <w:color w:val="auto"/>
          <w:highlight w:val="none"/>
        </w:rPr>
      </w:pPr>
      <w:r>
        <w:rPr>
          <w:rFonts w:hint="eastAsia"/>
          <w:color w:val="auto"/>
          <w:highlight w:val="none"/>
        </w:rPr>
        <w:t>4.</w:t>
      </w:r>
      <w:r>
        <w:rPr>
          <w:color w:val="auto"/>
          <w:highlight w:val="none"/>
        </w:rPr>
        <w:t>身份证明材料应同时提供其在有效期的材料，如居民身份证正、反面复印件</w:t>
      </w:r>
      <w:r>
        <w:rPr>
          <w:rFonts w:hint="eastAsia"/>
          <w:color w:val="auto"/>
          <w:highlight w:val="none"/>
        </w:rPr>
        <w:t>。</w:t>
      </w:r>
    </w:p>
    <w:p>
      <w:pPr>
        <w:pStyle w:val="51"/>
        <w:numPr>
          <w:ilvl w:val="0"/>
          <w:numId w:val="19"/>
        </w:numPr>
        <w:spacing w:before="120" w:after="120"/>
        <w:ind w:firstLine="0"/>
        <w:rPr>
          <w:color w:val="auto"/>
          <w:highlight w:val="none"/>
        </w:rPr>
      </w:pPr>
      <w:bookmarkStart w:id="849" w:name="_Toc28837"/>
      <w:bookmarkStart w:id="850" w:name="_Toc22152"/>
      <w:bookmarkStart w:id="851" w:name="_Toc27535"/>
      <w:bookmarkStart w:id="852" w:name="_Toc28397"/>
      <w:bookmarkStart w:id="853" w:name="_Toc3822"/>
      <w:bookmarkStart w:id="854" w:name="_Toc28024"/>
      <w:bookmarkStart w:id="855" w:name="_Toc29937"/>
      <w:bookmarkStart w:id="856" w:name="_Toc14566"/>
      <w:r>
        <w:rPr>
          <w:rFonts w:hint="eastAsia"/>
          <w:color w:val="auto"/>
          <w:highlight w:val="none"/>
        </w:rPr>
        <w:t>具有独立承担民事责任的能力的证明材料</w:t>
      </w:r>
      <w:bookmarkEnd w:id="849"/>
      <w:bookmarkEnd w:id="850"/>
      <w:bookmarkEnd w:id="851"/>
    </w:p>
    <w:p>
      <w:pPr>
        <w:pStyle w:val="35"/>
        <w:rPr>
          <w:color w:val="auto"/>
          <w:highlight w:val="none"/>
        </w:rPr>
      </w:pPr>
      <w:r>
        <w:rPr>
          <w:rFonts w:hint="eastAsia"/>
          <w:color w:val="auto"/>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52"/>
    <w:p>
      <w:pPr>
        <w:pStyle w:val="53"/>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注：1.以上证明材料应满足此条要求①发证机关有年检要求的，应按规定通过年检；②在有效期内；③复印件加盖投标人电子签章；</w:t>
      </w:r>
    </w:p>
    <w:p>
      <w:pPr>
        <w:pStyle w:val="53"/>
        <w:ind w:firstLine="482"/>
        <w:rPr>
          <w:color w:val="auto"/>
          <w:highlight w:val="none"/>
        </w:rPr>
      </w:pPr>
      <w:r>
        <w:rPr>
          <w:rFonts w:hint="eastAsia"/>
          <w:color w:val="auto"/>
          <w:highlight w:val="none"/>
        </w:rPr>
        <w:t>2.</w:t>
      </w:r>
      <w:bookmarkEnd w:id="853"/>
      <w:r>
        <w:rPr>
          <w:rFonts w:hint="eastAsia"/>
          <w:color w:val="auto"/>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p>
    <w:p>
      <w:pPr>
        <w:pStyle w:val="31"/>
        <w:rPr>
          <w:color w:val="auto"/>
          <w:highlight w:val="none"/>
        </w:rPr>
      </w:pPr>
    </w:p>
    <w:p>
      <w:pPr>
        <w:pStyle w:val="51"/>
        <w:numPr>
          <w:ilvl w:val="0"/>
          <w:numId w:val="19"/>
        </w:numPr>
        <w:spacing w:before="120" w:after="120"/>
        <w:ind w:firstLine="0"/>
        <w:rPr>
          <w:color w:val="auto"/>
          <w:highlight w:val="none"/>
        </w:rPr>
      </w:pPr>
      <w:bookmarkStart w:id="857" w:name="_Toc23693"/>
      <w:r>
        <w:rPr>
          <w:rFonts w:hint="eastAsia"/>
          <w:color w:val="auto"/>
          <w:highlight w:val="none"/>
        </w:rPr>
        <w:t>投标人具有良好的商业信誉和健全的财务会计制度的证明材料</w:t>
      </w:r>
      <w:bookmarkEnd w:id="854"/>
      <w:bookmarkEnd w:id="855"/>
      <w:bookmarkEnd w:id="857"/>
    </w:p>
    <w:bookmarkEnd w:id="856"/>
    <w:p>
      <w:pPr>
        <w:pStyle w:val="35"/>
        <w:rPr>
          <w:color w:val="auto"/>
          <w:highlight w:val="none"/>
        </w:rPr>
      </w:pPr>
      <w:bookmarkStart w:id="858" w:name="_Toc19866"/>
      <w:bookmarkStart w:id="859" w:name="_Toc17744"/>
      <w:bookmarkStart w:id="860" w:name="_Toc5443"/>
      <w:r>
        <w:rPr>
          <w:rFonts w:hint="eastAsia"/>
          <w:color w:val="auto"/>
          <w:highlight w:val="none"/>
        </w:rPr>
        <w:t>1.投标人具有良好商业信誉的证明材料</w:t>
      </w:r>
    </w:p>
    <w:p>
      <w:pPr>
        <w:pStyle w:val="35"/>
        <w:rPr>
          <w:color w:val="auto"/>
          <w:highlight w:val="none"/>
        </w:rPr>
      </w:pPr>
      <w:r>
        <w:rPr>
          <w:rFonts w:hint="eastAsia"/>
          <w:color w:val="auto"/>
          <w:highlight w:val="none"/>
        </w:rPr>
        <w:t>提供具有良好的商业信誉的承诺函。</w:t>
      </w:r>
    </w:p>
    <w:p>
      <w:pPr>
        <w:pStyle w:val="35"/>
        <w:ind w:firstLine="482"/>
        <w:rPr>
          <w:b/>
          <w:bCs/>
          <w:color w:val="auto"/>
          <w:highlight w:val="none"/>
        </w:rPr>
      </w:pPr>
      <w:r>
        <w:rPr>
          <w:rFonts w:hint="eastAsia"/>
          <w:b/>
          <w:bCs/>
          <w:color w:val="auto"/>
          <w:highlight w:val="none"/>
        </w:rPr>
        <w:t>注：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5"/>
        <w:rPr>
          <w:color w:val="auto"/>
          <w:highlight w:val="none"/>
        </w:rPr>
      </w:pPr>
      <w:r>
        <w:rPr>
          <w:rFonts w:hint="eastAsia"/>
          <w:color w:val="auto"/>
          <w:highlight w:val="none"/>
        </w:rPr>
        <w:t>2.投标人具有健全的财务会计制度的证明材料</w:t>
      </w:r>
    </w:p>
    <w:p>
      <w:pPr>
        <w:pStyle w:val="35"/>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5"/>
        <w:rPr>
          <w:color w:val="auto"/>
          <w:highlight w:val="none"/>
        </w:rPr>
      </w:pPr>
      <w:r>
        <w:rPr>
          <w:rFonts w:hint="eastAsia"/>
          <w:color w:val="auto"/>
          <w:highlight w:val="none"/>
        </w:rPr>
        <w:t>(2)投标人提供2020年度投标人内部的财务报表复印件(至少包含资产负债表)；</w:t>
      </w:r>
    </w:p>
    <w:p>
      <w:pPr>
        <w:pStyle w:val="35"/>
        <w:rPr>
          <w:color w:val="auto"/>
          <w:highlight w:val="none"/>
        </w:rPr>
      </w:pPr>
      <w:r>
        <w:rPr>
          <w:rFonts w:hint="eastAsia"/>
          <w:color w:val="auto"/>
          <w:highlight w:val="none"/>
        </w:rPr>
        <w:t>(3)投标人提供投标文件递交截止日前一年内银行为其出具的资信证明复印件；</w:t>
      </w:r>
    </w:p>
    <w:p>
      <w:pPr>
        <w:pStyle w:val="35"/>
        <w:rPr>
          <w:color w:val="auto"/>
          <w:highlight w:val="none"/>
        </w:rPr>
      </w:pPr>
      <w:r>
        <w:rPr>
          <w:rFonts w:hint="eastAsia"/>
          <w:color w:val="auto"/>
          <w:highlight w:val="none"/>
        </w:rPr>
        <w:t>(4)投标人注册时间截至投标文件递交截止日不足一年的，可提供公司章程复印件；</w:t>
      </w:r>
    </w:p>
    <w:p>
      <w:pPr>
        <w:pStyle w:val="35"/>
        <w:rPr>
          <w:color w:val="auto"/>
          <w:highlight w:val="none"/>
        </w:rPr>
      </w:pPr>
      <w:r>
        <w:rPr>
          <w:rFonts w:hint="eastAsia"/>
          <w:color w:val="auto"/>
          <w:highlight w:val="none"/>
        </w:rPr>
        <w:t>(5)提供具有健全的财务会计制度的承诺函。</w:t>
      </w:r>
    </w:p>
    <w:p>
      <w:pPr>
        <w:pStyle w:val="53"/>
        <w:ind w:firstLine="482"/>
        <w:rPr>
          <w:color w:val="auto"/>
          <w:highlight w:val="none"/>
        </w:rPr>
      </w:pPr>
      <w:r>
        <w:rPr>
          <w:rFonts w:hint="eastAsia"/>
          <w:bCs/>
          <w:color w:val="auto"/>
          <w:highlight w:val="none"/>
        </w:rPr>
        <w:t>注：具有健全的财务会计制度的证明材料中第(1)-(5)项具有同等的投标效力，投标人可根据自身实际情况选择提供其中任意一项。</w:t>
      </w:r>
    </w:p>
    <w:p>
      <w:pPr>
        <w:pStyle w:val="51"/>
        <w:numPr>
          <w:ilvl w:val="0"/>
          <w:numId w:val="19"/>
        </w:numPr>
        <w:spacing w:before="120" w:after="120"/>
        <w:ind w:firstLine="0"/>
        <w:rPr>
          <w:color w:val="auto"/>
          <w:highlight w:val="none"/>
        </w:rPr>
      </w:pPr>
      <w:bookmarkStart w:id="861" w:name="_Toc17007"/>
      <w:r>
        <w:rPr>
          <w:rFonts w:hint="eastAsia"/>
          <w:color w:val="auto"/>
          <w:highlight w:val="none"/>
        </w:rPr>
        <w:t>投标人具有依法缴纳税收和社会保障资金的良好记录的证明材料</w:t>
      </w:r>
      <w:bookmarkEnd w:id="858"/>
      <w:bookmarkEnd w:id="859"/>
      <w:bookmarkEnd w:id="861"/>
    </w:p>
    <w:bookmarkEnd w:id="860"/>
    <w:p>
      <w:pPr>
        <w:pStyle w:val="35"/>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3"/>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31"/>
        <w:rPr>
          <w:color w:val="auto"/>
          <w:highlight w:val="none"/>
        </w:rPr>
      </w:pPr>
      <w:r>
        <w:rPr>
          <w:rFonts w:hint="eastAsia"/>
          <w:color w:val="auto"/>
          <w:highlight w:val="none"/>
        </w:rPr>
        <w:br w:type="page"/>
      </w:r>
    </w:p>
    <w:p>
      <w:pPr>
        <w:pStyle w:val="51"/>
        <w:numPr>
          <w:ilvl w:val="0"/>
          <w:numId w:val="19"/>
        </w:numPr>
        <w:spacing w:before="120" w:after="120"/>
        <w:ind w:firstLine="0"/>
        <w:rPr>
          <w:color w:val="auto"/>
          <w:highlight w:val="none"/>
        </w:rPr>
      </w:pPr>
      <w:bookmarkStart w:id="862" w:name="_Toc30059"/>
      <w:bookmarkStart w:id="863" w:name="_Toc16336"/>
      <w:bookmarkStart w:id="864" w:name="_Toc15870"/>
      <w:r>
        <w:rPr>
          <w:rFonts w:hint="eastAsia"/>
          <w:color w:val="auto"/>
          <w:highlight w:val="none"/>
        </w:rPr>
        <w:t>投标人具有履行合同所必需的设备和专业技术能力证明材料</w:t>
      </w:r>
      <w:bookmarkEnd w:id="862"/>
      <w:bookmarkEnd w:id="863"/>
      <w:bookmarkEnd w:id="864"/>
    </w:p>
    <w:p>
      <w:pPr>
        <w:pStyle w:val="35"/>
        <w:rPr>
          <w:color w:val="auto"/>
          <w:highlight w:val="none"/>
        </w:rPr>
      </w:pPr>
      <w:r>
        <w:rPr>
          <w:rFonts w:hint="eastAsia"/>
          <w:color w:val="auto"/>
          <w:highlight w:val="none"/>
        </w:rPr>
        <w:t>提供具有履行合同所必需的设备和专业技术能力的承诺函。</w:t>
      </w:r>
    </w:p>
    <w:p>
      <w:pPr>
        <w:pStyle w:val="53"/>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31"/>
        <w:rPr>
          <w:color w:val="auto"/>
          <w:highlight w:val="none"/>
        </w:rPr>
      </w:pPr>
      <w:r>
        <w:rPr>
          <w:rFonts w:hint="eastAsia"/>
          <w:color w:val="auto"/>
          <w:highlight w:val="none"/>
        </w:rPr>
        <w:br w:type="page"/>
      </w:r>
    </w:p>
    <w:p>
      <w:pPr>
        <w:pStyle w:val="51"/>
        <w:numPr>
          <w:ilvl w:val="0"/>
          <w:numId w:val="19"/>
        </w:numPr>
        <w:spacing w:before="120" w:after="120"/>
        <w:ind w:firstLine="0"/>
        <w:rPr>
          <w:color w:val="auto"/>
          <w:highlight w:val="none"/>
        </w:rPr>
      </w:pPr>
      <w:bookmarkStart w:id="865" w:name="_Toc16639"/>
      <w:bookmarkStart w:id="866" w:name="_Toc21379"/>
      <w:r>
        <w:rPr>
          <w:rFonts w:hint="eastAsia"/>
          <w:color w:val="auto"/>
          <w:highlight w:val="none"/>
        </w:rPr>
        <w:t>投标人参加政府采购活动前三年内，在经营活动中没有重大违法记录的证明材料</w:t>
      </w:r>
      <w:bookmarkEnd w:id="865"/>
      <w:bookmarkEnd w:id="866"/>
    </w:p>
    <w:p>
      <w:pPr>
        <w:pStyle w:val="35"/>
        <w:rPr>
          <w:color w:val="auto"/>
          <w:highlight w:val="none"/>
        </w:rPr>
      </w:pPr>
      <w:bookmarkStart w:id="867" w:name="_Toc9591"/>
      <w:bookmarkStart w:id="868" w:name="_Toc14299"/>
      <w:r>
        <w:rPr>
          <w:rFonts w:hint="eastAsia"/>
          <w:color w:val="auto"/>
          <w:highlight w:val="none"/>
        </w:rPr>
        <w:t>投标人提供参加本次政府采购活动前三年内，在经营活动中没有重大违法记录的书面声明(成立不足三年的，从成立之日起计算)。</w:t>
      </w:r>
    </w:p>
    <w:p>
      <w:pPr>
        <w:pStyle w:val="53"/>
        <w:ind w:firstLine="482"/>
        <w:rPr>
          <w:color w:val="auto"/>
          <w:highlight w:val="none"/>
        </w:rPr>
      </w:pPr>
      <w:bookmarkStart w:id="869" w:name="_Toc7540"/>
      <w:bookmarkStart w:id="870" w:name="_Toc26284"/>
      <w:r>
        <w:rPr>
          <w:rFonts w:hint="eastAsia"/>
          <w:color w:val="auto"/>
          <w:highlight w:val="none"/>
        </w:rPr>
        <w:t>注：格式自拟，或参照《符合&lt;中华人民共和国政府采购法&gt;第二十二条规定的条件的承诺及声明函》的格式提供声明函。</w:t>
      </w:r>
    </w:p>
    <w:bookmarkEnd w:id="867"/>
    <w:bookmarkEnd w:id="868"/>
    <w:bookmarkEnd w:id="869"/>
    <w:bookmarkEnd w:id="870"/>
    <w:p>
      <w:pPr>
        <w:pStyle w:val="51"/>
        <w:numPr>
          <w:ilvl w:val="0"/>
          <w:numId w:val="19"/>
        </w:numPr>
        <w:spacing w:before="120" w:after="120"/>
        <w:ind w:firstLine="0"/>
        <w:rPr>
          <w:color w:val="auto"/>
          <w:highlight w:val="none"/>
          <w:lang w:val="zh-CN"/>
        </w:rPr>
      </w:pPr>
      <w:bookmarkStart w:id="871" w:name="_Toc27034"/>
      <w:bookmarkStart w:id="872" w:name="_Toc17558"/>
      <w:bookmarkStart w:id="873" w:name="_Toc3840"/>
      <w:bookmarkStart w:id="874" w:name="_Toc14677"/>
      <w:bookmarkStart w:id="875" w:name="_Toc15054"/>
      <w:bookmarkStart w:id="876" w:name="_Toc4865"/>
      <w:bookmarkStart w:id="877" w:name="_Toc19166"/>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w:t>
      </w:r>
      <w:bookmarkEnd w:id="871"/>
      <w:bookmarkEnd w:id="872"/>
      <w:bookmarkEnd w:id="873"/>
      <w:r>
        <w:rPr>
          <w:rFonts w:hint="eastAsia"/>
          <w:color w:val="auto"/>
          <w:highlight w:val="none"/>
        </w:rPr>
        <w:t>承诺函</w:t>
      </w:r>
      <w:bookmarkEnd w:id="874"/>
    </w:p>
    <w:p>
      <w:pPr>
        <w:pStyle w:val="31"/>
        <w:adjustRightInd/>
        <w:snapToGrid/>
        <w:rPr>
          <w:rFonts w:cs="宋体"/>
          <w:color w:val="auto"/>
          <w:highlight w:val="none"/>
        </w:rPr>
      </w:pPr>
      <w:bookmarkStart w:id="878" w:name="_Toc8455"/>
      <w:r>
        <w:rPr>
          <w:rFonts w:hint="eastAsia" w:cs="宋体"/>
          <w:color w:val="auto"/>
          <w:highlight w:val="none"/>
          <w:u w:val="single"/>
        </w:rPr>
        <w:t xml:space="preserve">                   </w:t>
      </w:r>
      <w:r>
        <w:rPr>
          <w:rFonts w:hint="eastAsia" w:cs="宋体"/>
          <w:color w:val="auto"/>
          <w:highlight w:val="none"/>
        </w:rPr>
        <w:t>(采购代理机构名称)：</w:t>
      </w:r>
    </w:p>
    <w:p>
      <w:pPr>
        <w:pStyle w:val="31"/>
        <w:adjustRightInd/>
        <w:snapToGrid/>
        <w:ind w:firstLine="480" w:firstLineChars="200"/>
        <w:rPr>
          <w:rFonts w:cs="宋体"/>
          <w:color w:val="auto"/>
          <w:highlight w:val="none"/>
        </w:rPr>
      </w:pPr>
      <w:r>
        <w:rPr>
          <w:rFonts w:hint="eastAsia" w:cs="宋体"/>
          <w:color w:val="auto"/>
          <w:highlight w:val="none"/>
        </w:rPr>
        <w:t>我单位作为本次采购项目的投标人，根据招标文件要求，现郑重承诺如下：</w:t>
      </w:r>
    </w:p>
    <w:p>
      <w:pPr>
        <w:pStyle w:val="35"/>
        <w:adjustRightInd/>
        <w:snapToGrid/>
        <w:rPr>
          <w:rFonts w:cs="宋体"/>
          <w:color w:val="auto"/>
          <w:highlight w:val="none"/>
          <w:u w:val="single"/>
        </w:rPr>
      </w:pPr>
      <w:r>
        <w:rPr>
          <w:rFonts w:hint="eastAsia" w:cs="宋体"/>
          <w:color w:val="auto"/>
          <w:highlight w:val="none"/>
          <w:u w:val="single"/>
        </w:rPr>
        <w:t xml:space="preserve">           </w:t>
      </w:r>
      <w:r>
        <w:rPr>
          <w:rFonts w:hint="eastAsia" w:cs="宋体"/>
          <w:color w:val="auto"/>
          <w:highlight w:val="none"/>
        </w:rPr>
        <w:t>(投标人名称)及其现任法定代表人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(身份证号码)，主要负责人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w:t>
      </w:r>
      <w:r>
        <w:rPr>
          <w:rFonts w:hint="eastAsia" w:cs="宋体"/>
          <w:color w:val="auto"/>
          <w:highlight w:val="none"/>
          <w:u w:val="single"/>
        </w:rPr>
        <w:t xml:space="preserve">        </w:t>
      </w:r>
      <w:r>
        <w:rPr>
          <w:rFonts w:hint="eastAsia" w:cs="宋体"/>
          <w:color w:val="auto"/>
          <w:highlight w:val="none"/>
        </w:rPr>
        <w:t xml:space="preserve">(无行贿犯罪记录的期限)均无行贿犯罪记录。     </w:t>
      </w:r>
    </w:p>
    <w:p>
      <w:pPr>
        <w:pStyle w:val="35"/>
        <w:adjustRightInd/>
        <w:snapToGrid/>
        <w:rPr>
          <w:rFonts w:cs="宋体"/>
          <w:color w:val="auto"/>
          <w:highlight w:val="none"/>
        </w:rPr>
      </w:pPr>
      <w:r>
        <w:rPr>
          <w:rFonts w:hint="eastAsia" w:cs="宋体"/>
          <w:color w:val="auto"/>
          <w:highlight w:val="none"/>
        </w:rPr>
        <w:t>我单位对上述承诺的内容事项真实性、合法性负责。如经查实上述承诺的内容事项存在虚假，我单位自愿接受以提供虚假材料谋取中标所带来的所有法律责任。</w:t>
      </w:r>
    </w:p>
    <w:p>
      <w:pPr>
        <w:pStyle w:val="31"/>
        <w:adjustRightInd/>
        <w:snapToGrid/>
        <w:rPr>
          <w:rFonts w:cs="宋体"/>
          <w:color w:val="auto"/>
          <w:highlight w:val="none"/>
        </w:rPr>
      </w:pPr>
    </w:p>
    <w:p>
      <w:pPr>
        <w:pStyle w:val="31"/>
        <w:adjustRightInd/>
        <w:snapToGrid/>
        <w:rPr>
          <w:rFonts w:cs="宋体"/>
          <w:color w:val="auto"/>
          <w:highlight w:val="none"/>
        </w:rPr>
      </w:pPr>
    </w:p>
    <w:p>
      <w:pPr>
        <w:pStyle w:val="35"/>
        <w:rPr>
          <w:rFonts w:cs="宋体"/>
          <w:color w:val="auto"/>
          <w:highlight w:val="none"/>
        </w:rPr>
      </w:pPr>
      <w:r>
        <w:rPr>
          <w:rFonts w:hint="eastAsia" w:cs="宋体"/>
          <w:color w:val="auto"/>
          <w:highlight w:val="none"/>
        </w:rPr>
        <w:t>投标人名称：</w:t>
      </w:r>
      <w:r>
        <w:rPr>
          <w:rFonts w:hint="eastAsia" w:cs="宋体"/>
          <w:color w:val="auto"/>
          <w:highlight w:val="none"/>
          <w:u w:val="single"/>
        </w:rPr>
        <w:t xml:space="preserve">                </w:t>
      </w:r>
    </w:p>
    <w:p>
      <w:pPr>
        <w:pStyle w:val="34"/>
        <w:numPr>
          <w:ilvl w:val="3"/>
          <w:numId w:val="0"/>
        </w:numPr>
        <w:adjustRightInd/>
        <w:snapToGrid/>
        <w:ind w:firstLine="480" w:firstLineChars="200"/>
        <w:rPr>
          <w:rFonts w:cs="宋体"/>
          <w:color w:val="auto"/>
          <w:highlight w:val="none"/>
          <w:u w:val="single"/>
        </w:rPr>
      </w:pPr>
      <w:r>
        <w:rPr>
          <w:rFonts w:hint="eastAsia" w:cs="宋体"/>
          <w:color w:val="auto"/>
          <w:highlight w:val="none"/>
        </w:rPr>
        <w:t>投标日期：</w:t>
      </w:r>
      <w:r>
        <w:rPr>
          <w:rFonts w:hint="eastAsia" w:cs="宋体"/>
          <w:color w:val="auto"/>
          <w:highlight w:val="none"/>
          <w:u w:val="single"/>
        </w:rPr>
        <w:t xml:space="preserve">                  </w:t>
      </w:r>
    </w:p>
    <w:p>
      <w:pPr>
        <w:pStyle w:val="34"/>
        <w:numPr>
          <w:ilvl w:val="3"/>
          <w:numId w:val="0"/>
        </w:numPr>
        <w:adjustRightInd/>
        <w:snapToGrid/>
        <w:ind w:firstLine="480" w:firstLineChars="200"/>
        <w:rPr>
          <w:rFonts w:cs="宋体"/>
          <w:color w:val="auto"/>
          <w:highlight w:val="none"/>
          <w:u w:val="single"/>
        </w:rPr>
      </w:pPr>
    </w:p>
    <w:p>
      <w:pPr>
        <w:pStyle w:val="34"/>
        <w:numPr>
          <w:ilvl w:val="3"/>
          <w:numId w:val="0"/>
        </w:numPr>
        <w:ind w:firstLine="482" w:firstLineChars="200"/>
        <w:rPr>
          <w:b/>
          <w:bCs/>
          <w:color w:val="auto"/>
          <w:highlight w:val="none"/>
        </w:rPr>
      </w:pPr>
      <w:r>
        <w:rPr>
          <w:rFonts w:hint="eastAsia"/>
          <w:b/>
          <w:bCs/>
          <w:color w:val="auto"/>
          <w:highlight w:val="none"/>
        </w:rPr>
        <w:t>注：投标人成立时间超过十年的，在“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处填写“十年内”；</w:t>
      </w:r>
      <w:r>
        <w:rPr>
          <w:rFonts w:hint="eastAsia"/>
          <w:b/>
          <w:bCs/>
          <w:color w:val="auto"/>
          <w:highlight w:val="none"/>
        </w:rPr>
        <w:t>投标人</w:t>
      </w:r>
      <w:r>
        <w:rPr>
          <w:rFonts w:hint="eastAsia" w:cs="宋体"/>
          <w:b/>
          <w:bCs/>
          <w:color w:val="auto"/>
          <w:highlight w:val="none"/>
        </w:rPr>
        <w:t>成立时间不足十年的，</w:t>
      </w:r>
      <w:r>
        <w:rPr>
          <w:rFonts w:hint="eastAsia"/>
          <w:b/>
          <w:bCs/>
          <w:color w:val="auto"/>
          <w:highlight w:val="none"/>
        </w:rPr>
        <w:t>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处填写“自我单位成立之日起至今”</w:t>
      </w:r>
      <w:r>
        <w:rPr>
          <w:rFonts w:hint="eastAsia"/>
          <w:b/>
          <w:bCs/>
          <w:color w:val="auto"/>
          <w:highlight w:val="none"/>
        </w:rPr>
        <w:t>。</w:t>
      </w:r>
    </w:p>
    <w:p>
      <w:pPr>
        <w:pStyle w:val="31"/>
        <w:rPr>
          <w:color w:val="auto"/>
          <w:highlight w:val="none"/>
          <w:lang w:val="zh-CN"/>
        </w:rPr>
      </w:pPr>
    </w:p>
    <w:p>
      <w:pPr>
        <w:pStyle w:val="31"/>
        <w:rPr>
          <w:color w:val="auto"/>
          <w:highlight w:val="none"/>
        </w:rPr>
      </w:pPr>
      <w:r>
        <w:rPr>
          <w:rFonts w:hint="eastAsia"/>
          <w:color w:val="auto"/>
          <w:highlight w:val="none"/>
        </w:rPr>
        <w:br w:type="page"/>
      </w:r>
      <w:bookmarkEnd w:id="878"/>
      <w:bookmarkStart w:id="879" w:name="_Toc2151"/>
    </w:p>
    <w:bookmarkEnd w:id="879"/>
    <w:p>
      <w:pPr>
        <w:pStyle w:val="51"/>
        <w:numPr>
          <w:ilvl w:val="0"/>
          <w:numId w:val="19"/>
        </w:numPr>
        <w:spacing w:before="120" w:after="120"/>
        <w:ind w:firstLine="0"/>
        <w:rPr>
          <w:color w:val="auto"/>
          <w:highlight w:val="none"/>
        </w:rPr>
      </w:pPr>
      <w:bookmarkStart w:id="880" w:name="_Toc29137"/>
      <w:r>
        <w:rPr>
          <w:rFonts w:hint="eastAsia"/>
          <w:color w:val="auto"/>
          <w:highlight w:val="none"/>
        </w:rPr>
        <w:t>根据采购项目的特殊要求，供应商提供具有特定条件</w:t>
      </w:r>
      <w:bookmarkEnd w:id="875"/>
      <w:r>
        <w:rPr>
          <w:rFonts w:hint="eastAsia"/>
          <w:color w:val="auto"/>
          <w:highlight w:val="none"/>
        </w:rPr>
        <w:t>的证明材料</w:t>
      </w:r>
      <w:bookmarkEnd w:id="876"/>
      <w:bookmarkEnd w:id="877"/>
      <w:bookmarkEnd w:id="880"/>
    </w:p>
    <w:p>
      <w:pPr>
        <w:pStyle w:val="35"/>
        <w:rPr>
          <w:bCs/>
          <w:color w:val="auto"/>
          <w:highlight w:val="none"/>
        </w:rPr>
      </w:pPr>
      <w:r>
        <w:rPr>
          <w:rFonts w:hint="eastAsia"/>
          <w:bCs/>
          <w:color w:val="auto"/>
          <w:highlight w:val="none"/>
        </w:rPr>
        <w:t>提供未与其他投标供应商组成联合体参与本项目投标的承诺函。</w:t>
      </w:r>
    </w:p>
    <w:p>
      <w:pPr>
        <w:pStyle w:val="35"/>
        <w:rPr>
          <w:color w:val="auto"/>
          <w:highlight w:val="none"/>
        </w:rPr>
      </w:pPr>
      <w:r>
        <w:rPr>
          <w:rFonts w:hint="eastAsia" w:cs="宋体" w:asciiTheme="minorEastAsia" w:hAnsiTheme="minorEastAsia" w:eastAsiaTheme="minorEastAsia"/>
          <w:color w:val="auto"/>
          <w:highlight w:val="none"/>
        </w:rPr>
        <w:t>注：承诺函格式自拟，或参照《符合&lt;中华人民共和国政府采购法&gt;第二十二条规定的条件的承诺及声明函》的格式提供承诺函</w:t>
      </w:r>
      <w:r>
        <w:rPr>
          <w:rFonts w:hint="eastAsia"/>
          <w:color w:val="auto"/>
          <w:highlight w:val="none"/>
        </w:rPr>
        <w:t>。</w:t>
      </w:r>
    </w:p>
    <w:p>
      <w:pPr>
        <w:pStyle w:val="51"/>
        <w:numPr>
          <w:ilvl w:val="0"/>
          <w:numId w:val="19"/>
        </w:numPr>
        <w:spacing w:before="120" w:after="120"/>
        <w:ind w:firstLine="0"/>
        <w:rPr>
          <w:color w:val="auto"/>
          <w:highlight w:val="none"/>
        </w:rPr>
      </w:pPr>
      <w:bookmarkStart w:id="881" w:name="_Toc21855"/>
      <w:bookmarkStart w:id="882" w:name="_Toc28958"/>
      <w:bookmarkStart w:id="883" w:name="_Toc15708"/>
      <w:r>
        <w:rPr>
          <w:rFonts w:hint="eastAsia"/>
          <w:color w:val="auto"/>
          <w:highlight w:val="none"/>
        </w:rPr>
        <w:t>符合《中华人民共和国政府采购法》第二十二条规定的条件的承诺及声明函</w:t>
      </w:r>
      <w:bookmarkEnd w:id="881"/>
      <w:bookmarkEnd w:id="882"/>
      <w:bookmarkEnd w:id="883"/>
    </w:p>
    <w:p>
      <w:pPr>
        <w:pStyle w:val="31"/>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1"/>
        <w:ind w:firstLine="480" w:firstLineChars="200"/>
        <w:rPr>
          <w:color w:val="auto"/>
          <w:highlight w:val="none"/>
        </w:rPr>
      </w:pPr>
      <w:r>
        <w:rPr>
          <w:rFonts w:hint="eastAsia"/>
          <w:color w:val="auto"/>
          <w:highlight w:val="none"/>
        </w:rPr>
        <w:t>我公司作为本次采购项目的投标供应商，根据招标文件要求，现郑重承诺如下：</w:t>
      </w:r>
    </w:p>
    <w:p>
      <w:pPr>
        <w:pStyle w:val="43"/>
        <w:numPr>
          <w:ilvl w:val="2"/>
          <w:numId w:val="20"/>
        </w:numPr>
        <w:ind w:firstLine="480"/>
        <w:rPr>
          <w:color w:val="auto"/>
          <w:highlight w:val="none"/>
        </w:rPr>
      </w:pPr>
      <w:r>
        <w:rPr>
          <w:rFonts w:hint="eastAsia"/>
          <w:color w:val="auto"/>
          <w:highlight w:val="none"/>
        </w:rPr>
        <w:t xml:space="preserve">具有良好的商业信誉和健全的财务会计制度； </w:t>
      </w:r>
    </w:p>
    <w:p>
      <w:pPr>
        <w:pStyle w:val="43"/>
        <w:numPr>
          <w:ilvl w:val="2"/>
          <w:numId w:val="20"/>
        </w:numPr>
        <w:ind w:firstLine="480"/>
        <w:rPr>
          <w:color w:val="auto"/>
          <w:highlight w:val="none"/>
        </w:rPr>
      </w:pPr>
      <w:r>
        <w:rPr>
          <w:rFonts w:hint="eastAsia"/>
          <w:color w:val="auto"/>
          <w:highlight w:val="none"/>
        </w:rPr>
        <w:t xml:space="preserve">具有履行合同所必需的设备和专业技术能力； </w:t>
      </w:r>
    </w:p>
    <w:p>
      <w:pPr>
        <w:pStyle w:val="43"/>
        <w:numPr>
          <w:ilvl w:val="2"/>
          <w:numId w:val="20"/>
        </w:numPr>
        <w:ind w:firstLine="480"/>
        <w:rPr>
          <w:color w:val="auto"/>
          <w:highlight w:val="none"/>
        </w:rPr>
      </w:pPr>
      <w:r>
        <w:rPr>
          <w:rFonts w:hint="eastAsia"/>
          <w:color w:val="auto"/>
          <w:highlight w:val="none"/>
        </w:rPr>
        <w:t xml:space="preserve">具有依法缴纳税收和社会保障资金的良好记录； </w:t>
      </w:r>
    </w:p>
    <w:p>
      <w:pPr>
        <w:pStyle w:val="43"/>
        <w:numPr>
          <w:ilvl w:val="2"/>
          <w:numId w:val="20"/>
        </w:numPr>
        <w:ind w:firstLine="480"/>
        <w:rPr>
          <w:color w:val="auto"/>
          <w:highlight w:val="none"/>
        </w:rPr>
      </w:pPr>
      <w:r>
        <w:rPr>
          <w:rFonts w:hint="eastAsia"/>
          <w:color w:val="auto"/>
          <w:highlight w:val="none"/>
        </w:rPr>
        <w:t>参加本次政府采购活动前三年内，在经营活动中</w:t>
      </w:r>
      <w:r>
        <w:rPr>
          <w:rFonts w:hint="eastAsia"/>
          <w:color w:val="auto"/>
          <w:highlight w:val="none"/>
          <w:u w:val="single"/>
        </w:rPr>
        <w:t xml:space="preserve">      </w:t>
      </w:r>
      <w:r>
        <w:rPr>
          <w:rFonts w:hint="eastAsia"/>
          <w:color w:val="auto"/>
          <w:highlight w:val="none"/>
        </w:rPr>
        <w:t>(</w:t>
      </w:r>
      <w:r>
        <w:rPr>
          <w:rFonts w:hint="eastAsia"/>
          <w:b/>
          <w:bCs/>
          <w:color w:val="auto"/>
          <w:highlight w:val="none"/>
        </w:rPr>
        <w:t>说明：填写“没有”或“有”</w:t>
      </w:r>
      <w:r>
        <w:rPr>
          <w:rFonts w:hint="eastAsia"/>
          <w:color w:val="auto"/>
          <w:highlight w:val="none"/>
        </w:rPr>
        <w:t>)没有重大违法记录(供应商成立不足三年的，从成立之日起计算)；</w:t>
      </w:r>
    </w:p>
    <w:p>
      <w:pPr>
        <w:pStyle w:val="43"/>
        <w:numPr>
          <w:ilvl w:val="2"/>
          <w:numId w:val="20"/>
        </w:numPr>
        <w:ind w:firstLine="480"/>
        <w:rPr>
          <w:color w:val="auto"/>
          <w:highlight w:val="none"/>
        </w:rPr>
      </w:pPr>
      <w:r>
        <w:rPr>
          <w:rFonts w:hint="eastAsia"/>
          <w:color w:val="auto"/>
          <w:highlight w:val="none"/>
        </w:rPr>
        <w:t>符合法律、行政法规规定的其他条件；</w:t>
      </w:r>
    </w:p>
    <w:p>
      <w:pPr>
        <w:pStyle w:val="43"/>
        <w:numPr>
          <w:ilvl w:val="2"/>
          <w:numId w:val="20"/>
        </w:numPr>
        <w:ind w:firstLine="480"/>
        <w:rPr>
          <w:color w:val="auto"/>
          <w:highlight w:val="none"/>
        </w:rPr>
      </w:pPr>
      <w:r>
        <w:rPr>
          <w:rFonts w:hint="eastAsia"/>
          <w:color w:val="auto"/>
          <w:highlight w:val="none"/>
        </w:rPr>
        <w:t>未与其他供应商组成联合体参加本项目投标。</w:t>
      </w:r>
    </w:p>
    <w:p>
      <w:pPr>
        <w:pStyle w:val="35"/>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color w:val="auto"/>
          <w:highlight w:val="none"/>
          <w:u w:val="single"/>
        </w:rPr>
        <w:t xml:space="preserve">                </w:t>
      </w:r>
      <w:r>
        <w:rPr>
          <w:rFonts w:hint="eastAsia"/>
          <w:color w:val="auto"/>
          <w:highlight w:val="none"/>
        </w:rPr>
        <w:t xml:space="preserve">  </w:t>
      </w:r>
    </w:p>
    <w:p>
      <w:pPr>
        <w:pStyle w:val="53"/>
        <w:ind w:firstLine="482"/>
        <w:rPr>
          <w:color w:val="auto"/>
          <w:highlight w:val="none"/>
        </w:rPr>
      </w:pPr>
      <w:r>
        <w:rPr>
          <w:rFonts w:hint="eastAsia"/>
          <w:color w:val="auto"/>
          <w:highlight w:val="none"/>
        </w:rPr>
        <w:t>注：本部分所要求的承诺函可参照本格式或自拟格式填写均有效。</w:t>
      </w:r>
    </w:p>
    <w:p>
      <w:pPr>
        <w:pStyle w:val="53"/>
        <w:ind w:firstLine="482"/>
        <w:rPr>
          <w:color w:val="auto"/>
          <w:highlight w:val="none"/>
        </w:rPr>
      </w:pPr>
      <w:bookmarkStart w:id="884" w:name="_Toc18702"/>
    </w:p>
    <w:p>
      <w:pPr>
        <w:pStyle w:val="31"/>
        <w:rPr>
          <w:color w:val="auto"/>
          <w:highlight w:val="none"/>
        </w:rPr>
      </w:pPr>
    </w:p>
    <w:p>
      <w:pPr>
        <w:rPr>
          <w:color w:val="auto"/>
          <w:highlight w:val="none"/>
        </w:rPr>
      </w:pPr>
      <w:r>
        <w:rPr>
          <w:rFonts w:hint="eastAsia"/>
          <w:b/>
          <w:bCs/>
          <w:color w:val="auto"/>
          <w:highlight w:val="none"/>
        </w:rPr>
        <w:br w:type="page"/>
      </w:r>
    </w:p>
    <w:p>
      <w:pPr>
        <w:rPr>
          <w:color w:val="auto"/>
          <w:highlight w:val="none"/>
        </w:rPr>
      </w:pPr>
      <w:bookmarkStart w:id="885" w:name="_Toc14607"/>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32"/>
        <w:numPr>
          <w:ilvl w:val="1"/>
          <w:numId w:val="0"/>
        </w:numPr>
        <w:jc w:val="center"/>
        <w:rPr>
          <w:color w:val="auto"/>
          <w:sz w:val="32"/>
          <w:szCs w:val="32"/>
          <w:highlight w:val="none"/>
        </w:rPr>
      </w:pPr>
      <w:bookmarkStart w:id="886" w:name="_Toc16963"/>
      <w:r>
        <w:rPr>
          <w:rFonts w:hint="eastAsia"/>
          <w:color w:val="auto"/>
          <w:sz w:val="32"/>
          <w:szCs w:val="32"/>
          <w:highlight w:val="none"/>
        </w:rPr>
        <w:t>第二部分 其他投标文件(格式)</w:t>
      </w:r>
      <w:bookmarkEnd w:id="885"/>
      <w:bookmarkEnd w:id="886"/>
    </w:p>
    <w:p>
      <w:pPr>
        <w:pStyle w:val="31"/>
        <w:rPr>
          <w:color w:val="auto"/>
          <w:highlight w:val="none"/>
        </w:rPr>
      </w:pPr>
      <w:bookmarkStart w:id="887" w:name="_Toc26038"/>
      <w:r>
        <w:rPr>
          <w:rFonts w:hint="eastAsia"/>
          <w:color w:val="auto"/>
          <w:highlight w:val="none"/>
        </w:rPr>
        <w:br w:type="page"/>
      </w:r>
    </w:p>
    <w:p>
      <w:pPr>
        <w:pStyle w:val="51"/>
        <w:numPr>
          <w:ilvl w:val="0"/>
          <w:numId w:val="21"/>
        </w:numPr>
        <w:spacing w:before="120" w:after="120"/>
        <w:ind w:firstLine="0"/>
        <w:rPr>
          <w:color w:val="auto"/>
          <w:highlight w:val="none"/>
        </w:rPr>
      </w:pPr>
      <w:bookmarkStart w:id="888" w:name="_Toc25251"/>
      <w:bookmarkStart w:id="889" w:name="_Toc2311"/>
      <w:r>
        <w:rPr>
          <w:rFonts w:hint="eastAsia"/>
          <w:color w:val="auto"/>
          <w:highlight w:val="none"/>
        </w:rPr>
        <w:t>投标函</w:t>
      </w:r>
      <w:bookmarkEnd w:id="884"/>
      <w:bookmarkEnd w:id="887"/>
      <w:bookmarkEnd w:id="888"/>
      <w:bookmarkEnd w:id="889"/>
    </w:p>
    <w:p>
      <w:pPr>
        <w:pStyle w:val="31"/>
        <w:rPr>
          <w:color w:val="auto"/>
          <w:highlight w:val="none"/>
          <w:lang w:val="zh-CN"/>
        </w:rPr>
      </w:pPr>
      <w:r>
        <w:rPr>
          <w:rFonts w:hint="eastAsia"/>
          <w:color w:val="auto"/>
          <w:highlight w:val="none"/>
          <w:lang w:val="zh-CN"/>
        </w:rPr>
        <w:t>致：四川乾新招投标代理有限公司　</w:t>
      </w:r>
    </w:p>
    <w:p>
      <w:pPr>
        <w:pStyle w:val="35"/>
        <w:rPr>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(姓名、职务)代表我方</w:t>
      </w:r>
      <w:r>
        <w:rPr>
          <w:rFonts w:hint="eastAsia"/>
          <w:color w:val="auto"/>
          <w:highlight w:val="none"/>
          <w:u w:val="single"/>
        </w:rPr>
        <w:t xml:space="preserve">               </w:t>
      </w:r>
      <w:r>
        <w:rPr>
          <w:rFonts w:hint="eastAsia"/>
          <w:color w:val="auto"/>
          <w:highlight w:val="none"/>
        </w:rPr>
        <w:t>(投标人名称)全权处理本项目投标的有关事宜。</w:t>
      </w:r>
    </w:p>
    <w:p>
      <w:pPr>
        <w:pStyle w:val="43"/>
        <w:numPr>
          <w:ilvl w:val="2"/>
          <w:numId w:val="22"/>
        </w:numPr>
        <w:ind w:firstLine="480"/>
        <w:rPr>
          <w:color w:val="auto"/>
          <w:highlight w:val="none"/>
        </w:rPr>
      </w:pPr>
      <w:r>
        <w:rPr>
          <w:rFonts w:hint="eastAsia"/>
          <w:color w:val="auto"/>
          <w:highlight w:val="none"/>
        </w:rPr>
        <w:t>我方自愿按照招标文件规定的各项要求向采购人提供所需货物及服务，投标总价为人民币</w:t>
      </w:r>
      <w:r>
        <w:rPr>
          <w:rFonts w:hint="eastAsia"/>
          <w:color w:val="auto"/>
          <w:highlight w:val="none"/>
          <w:u w:val="single"/>
        </w:rPr>
        <w:t xml:space="preserve">          </w:t>
      </w:r>
      <w:r>
        <w:rPr>
          <w:rFonts w:hint="eastAsia"/>
          <w:color w:val="auto"/>
          <w:highlight w:val="none"/>
        </w:rPr>
        <w:t>元(大写：</w:t>
      </w:r>
      <w:r>
        <w:rPr>
          <w:rFonts w:hint="eastAsia"/>
          <w:color w:val="auto"/>
          <w:highlight w:val="none"/>
          <w:u w:val="single"/>
        </w:rPr>
        <w:t xml:space="preserve">人民币             </w:t>
      </w:r>
      <w:r>
        <w:rPr>
          <w:rFonts w:hint="eastAsia"/>
          <w:color w:val="auto"/>
          <w:highlight w:val="none"/>
        </w:rPr>
        <w:t>)，我方将严格履行合同规定的责任和义务，履约时间为</w:t>
      </w:r>
      <w:r>
        <w:rPr>
          <w:rFonts w:hint="eastAsia"/>
          <w:color w:val="auto"/>
          <w:highlight w:val="none"/>
          <w:u w:val="single"/>
        </w:rPr>
        <w:t xml:space="preserve">             </w:t>
      </w:r>
      <w:r>
        <w:rPr>
          <w:rFonts w:hint="eastAsia"/>
          <w:color w:val="auto"/>
          <w:highlight w:val="none"/>
        </w:rPr>
        <w:t>。</w:t>
      </w:r>
    </w:p>
    <w:p>
      <w:pPr>
        <w:pStyle w:val="43"/>
        <w:numPr>
          <w:ilvl w:val="2"/>
          <w:numId w:val="22"/>
        </w:numPr>
        <w:ind w:firstLine="480"/>
        <w:rPr>
          <w:color w:val="auto"/>
          <w:highlight w:val="none"/>
        </w:rPr>
      </w:pPr>
      <w:r>
        <w:rPr>
          <w:rFonts w:hint="eastAsia"/>
          <w:color w:val="auto"/>
          <w:highlight w:val="none"/>
        </w:rPr>
        <w:t>我方承诺：投标有效期为提交投标文件的截止之日起90日。</w:t>
      </w:r>
    </w:p>
    <w:p>
      <w:pPr>
        <w:pStyle w:val="43"/>
        <w:numPr>
          <w:ilvl w:val="2"/>
          <w:numId w:val="22"/>
        </w:numPr>
        <w:ind w:firstLine="480"/>
        <w:rPr>
          <w:color w:val="auto"/>
          <w:highlight w:val="none"/>
        </w:rPr>
      </w:pPr>
      <w:r>
        <w:rPr>
          <w:rFonts w:hint="eastAsia"/>
          <w:color w:val="auto"/>
          <w:highlight w:val="none"/>
        </w:rPr>
        <w:t>我方完全理解采购人不一定将合同授予最低报价的投标人的行为。</w:t>
      </w:r>
    </w:p>
    <w:p>
      <w:pPr>
        <w:pStyle w:val="43"/>
        <w:numPr>
          <w:ilvl w:val="2"/>
          <w:numId w:val="22"/>
        </w:numPr>
        <w:ind w:firstLine="480"/>
        <w:rPr>
          <w:color w:val="auto"/>
          <w:highlight w:val="none"/>
        </w:rPr>
      </w:pPr>
      <w:r>
        <w:rPr>
          <w:rFonts w:hint="eastAsia"/>
          <w:color w:val="auto"/>
          <w:highlight w:val="none"/>
        </w:rPr>
        <w:t>一旦我方中标：</w:t>
      </w:r>
    </w:p>
    <w:p>
      <w:pPr>
        <w:pStyle w:val="44"/>
        <w:ind w:firstLine="480"/>
        <w:rPr>
          <w:color w:val="auto"/>
          <w:highlight w:val="none"/>
        </w:rPr>
      </w:pPr>
      <w:r>
        <w:rPr>
          <w:rFonts w:hint="eastAsia"/>
          <w:color w:val="auto"/>
          <w:highlight w:val="none"/>
        </w:rPr>
        <w:t>我方承诺在收到中标通知书后，在规定的期限内与采购人签订合同。</w:t>
      </w:r>
    </w:p>
    <w:p>
      <w:pPr>
        <w:pStyle w:val="44"/>
        <w:ind w:firstLine="480"/>
        <w:rPr>
          <w:color w:val="auto"/>
          <w:highlight w:val="none"/>
        </w:rPr>
      </w:pPr>
      <w:r>
        <w:rPr>
          <w:rFonts w:hint="eastAsia"/>
          <w:color w:val="auto"/>
          <w:highlight w:val="none"/>
        </w:rPr>
        <w:t>我方承诺按照招标文件规定的金额和方式向采购人缴纳履约保证金。</w:t>
      </w:r>
    </w:p>
    <w:p>
      <w:pPr>
        <w:pStyle w:val="44"/>
        <w:ind w:firstLine="480"/>
        <w:rPr>
          <w:color w:val="auto"/>
          <w:highlight w:val="none"/>
        </w:rPr>
      </w:pPr>
      <w:r>
        <w:rPr>
          <w:rFonts w:hint="eastAsia"/>
          <w:color w:val="auto"/>
          <w:highlight w:val="none"/>
        </w:rPr>
        <w:t>我方将严格履行政府采购合同规定的责任和义务。</w:t>
      </w:r>
    </w:p>
    <w:p>
      <w:pPr>
        <w:pStyle w:val="44"/>
        <w:ind w:firstLine="480"/>
        <w:rPr>
          <w:color w:val="auto"/>
          <w:highlight w:val="none"/>
        </w:rPr>
      </w:pPr>
      <w:r>
        <w:rPr>
          <w:rFonts w:hint="eastAsia"/>
          <w:color w:val="auto"/>
          <w:highlight w:val="none"/>
        </w:rPr>
        <w:t>我方愿意提供与投标报价有关的文件资料，并保证我方已提供和将要提供的文件资料是真实、准确的。</w:t>
      </w:r>
    </w:p>
    <w:p>
      <w:pPr>
        <w:pStyle w:val="44"/>
        <w:ind w:firstLine="480"/>
        <w:rPr>
          <w:color w:val="auto"/>
          <w:highlight w:val="none"/>
        </w:rPr>
      </w:pPr>
      <w:r>
        <w:rPr>
          <w:rFonts w:hint="eastAsia"/>
          <w:color w:val="auto"/>
          <w:highlight w:val="none"/>
        </w:rPr>
        <w:t>我方自愿按照招标文件规定的各项要求完成采购项目，接受采购人按照政府采购合同约定金额支付采购资金。</w:t>
      </w:r>
    </w:p>
    <w:p>
      <w:pPr>
        <w:pStyle w:val="44"/>
        <w:ind w:firstLine="480"/>
        <w:rPr>
          <w:color w:val="auto"/>
          <w:highlight w:val="none"/>
        </w:rPr>
      </w:pPr>
      <w:r>
        <w:rPr>
          <w:rFonts w:hint="eastAsia"/>
          <w:color w:val="auto"/>
          <w:highlight w:val="none"/>
        </w:rPr>
        <w:t>我方在参与本项目履约过程中涉及国家相关强制标准的，均按照该标准执行。</w:t>
      </w:r>
    </w:p>
    <w:p>
      <w:pPr>
        <w:pStyle w:val="43"/>
        <w:numPr>
          <w:ilvl w:val="2"/>
          <w:numId w:val="22"/>
        </w:numPr>
        <w:ind w:firstLine="480"/>
        <w:rPr>
          <w:rFonts w:cs="宋体" w:asciiTheme="minorEastAsia" w:hAnsiTheme="minorEastAsia" w:eastAsiaTheme="minorEastAsia"/>
          <w:snapToGrid/>
          <w:color w:val="auto"/>
          <w:highlight w:val="none"/>
        </w:rPr>
      </w:pPr>
      <w:r>
        <w:rPr>
          <w:rFonts w:hint="eastAsia"/>
          <w:color w:val="auto"/>
          <w:highlight w:val="none"/>
        </w:rPr>
        <w:t>我方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pStyle w:val="31"/>
        <w:ind w:firstLine="480" w:firstLineChars="200"/>
        <w:rPr>
          <w:color w:val="auto"/>
          <w:highlight w:val="none"/>
        </w:rPr>
      </w:pPr>
    </w:p>
    <w:p>
      <w:pPr>
        <w:pStyle w:val="31"/>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1"/>
        <w:ind w:firstLine="480" w:firstLineChars="200"/>
        <w:rPr>
          <w:color w:val="auto"/>
          <w:highlight w:val="none"/>
        </w:rPr>
      </w:pPr>
      <w:r>
        <w:rPr>
          <w:rFonts w:hint="eastAsia"/>
          <w:color w:val="auto"/>
          <w:highlight w:val="none"/>
        </w:rPr>
        <w:t>通讯地址：</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1"/>
        <w:ind w:firstLine="480" w:firstLineChars="200"/>
        <w:rPr>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1"/>
        <w:ind w:firstLine="480" w:firstLineChars="200"/>
        <w:rPr>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1"/>
        <w:ind w:firstLine="480" w:firstLineChars="200"/>
        <w:rPr>
          <w:color w:val="auto"/>
          <w:highlight w:val="none"/>
        </w:rPr>
      </w:pPr>
      <w:r>
        <w:rPr>
          <w:rFonts w:hint="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1"/>
        <w:ind w:firstLine="480" w:firstLineChars="200"/>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rPr>
          <w:color w:val="auto"/>
          <w:highlight w:val="none"/>
        </w:rPr>
      </w:pPr>
      <w:r>
        <w:rPr>
          <w:rFonts w:hint="eastAsia"/>
          <w:color w:val="auto"/>
          <w:highlight w:val="none"/>
        </w:rPr>
        <w:br w:type="page"/>
      </w:r>
    </w:p>
    <w:p>
      <w:pPr>
        <w:pStyle w:val="51"/>
        <w:numPr>
          <w:ilvl w:val="0"/>
          <w:numId w:val="21"/>
        </w:numPr>
        <w:spacing w:before="120" w:after="120"/>
        <w:ind w:firstLine="0"/>
        <w:rPr>
          <w:color w:val="auto"/>
          <w:highlight w:val="none"/>
        </w:rPr>
      </w:pPr>
      <w:bookmarkStart w:id="890" w:name="_Toc843"/>
      <w:r>
        <w:rPr>
          <w:rFonts w:hint="eastAsia"/>
          <w:color w:val="auto"/>
          <w:highlight w:val="none"/>
        </w:rPr>
        <w:t>实质性要求承诺</w:t>
      </w:r>
      <w:bookmarkEnd w:id="890"/>
    </w:p>
    <w:p>
      <w:pPr>
        <w:pStyle w:val="31"/>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5"/>
        <w:rPr>
          <w:color w:val="auto"/>
          <w:highlight w:val="none"/>
        </w:rPr>
      </w:pPr>
      <w:r>
        <w:rPr>
          <w:rFonts w:hint="eastAsia"/>
          <w:color w:val="auto"/>
          <w:highlight w:val="none"/>
        </w:rPr>
        <w:t>我方作为本次采购项目的投标人，根据招标文件要求，现郑重承诺及声明如下：</w:t>
      </w:r>
    </w:p>
    <w:p>
      <w:pPr>
        <w:pStyle w:val="43"/>
        <w:numPr>
          <w:ilvl w:val="2"/>
          <w:numId w:val="23"/>
        </w:numPr>
        <w:ind w:firstLine="480"/>
        <w:rPr>
          <w:color w:val="auto"/>
          <w:highlight w:val="none"/>
        </w:rPr>
      </w:pPr>
      <w:r>
        <w:rPr>
          <w:rFonts w:hint="eastAsia"/>
          <w:color w:val="auto"/>
          <w:highlight w:val="none"/>
        </w:rPr>
        <w:t>我方已认真阅读并接受本项目采购文件的全部实质性要求。</w:t>
      </w:r>
    </w:p>
    <w:p>
      <w:pPr>
        <w:pStyle w:val="43"/>
        <w:numPr>
          <w:ilvl w:val="2"/>
          <w:numId w:val="23"/>
        </w:numPr>
        <w:ind w:firstLine="480"/>
        <w:rPr>
          <w:color w:val="auto"/>
          <w:highlight w:val="none"/>
        </w:rPr>
      </w:pPr>
      <w:r>
        <w:rPr>
          <w:rFonts w:hint="eastAsia"/>
          <w:color w:val="auto"/>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color w:val="auto"/>
          <w:highlight w:val="none"/>
          <w:u w:val="single"/>
        </w:rPr>
        <w:t xml:space="preserve">                  </w:t>
      </w:r>
      <w:r>
        <w:rPr>
          <w:rFonts w:hint="eastAsia"/>
          <w:color w:val="auto"/>
          <w:highlight w:val="none"/>
        </w:rPr>
        <w:t>；存在管理关系的单位为：</w:t>
      </w:r>
      <w:r>
        <w:rPr>
          <w:rFonts w:hint="eastAsia"/>
          <w:color w:val="auto"/>
          <w:highlight w:val="none"/>
          <w:u w:val="single"/>
        </w:rPr>
        <w:t xml:space="preserve">                      </w:t>
      </w:r>
      <w:r>
        <w:rPr>
          <w:rFonts w:hint="eastAsia"/>
          <w:color w:val="auto"/>
          <w:highlight w:val="none"/>
        </w:rPr>
        <w:t>(如不存在直接控股、管理关系的相关供应商填“无”)。</w:t>
      </w:r>
    </w:p>
    <w:p>
      <w:pPr>
        <w:pStyle w:val="43"/>
        <w:numPr>
          <w:ilvl w:val="2"/>
          <w:numId w:val="23"/>
        </w:numPr>
        <w:ind w:firstLine="480"/>
        <w:rPr>
          <w:color w:val="auto"/>
          <w:highlight w:val="none"/>
        </w:rPr>
      </w:pPr>
      <w:r>
        <w:rPr>
          <w:rFonts w:hint="eastAsia"/>
          <w:color w:val="auto"/>
          <w:highlight w:val="none"/>
        </w:rPr>
        <w:t>我方参加本次采购活动前本单位未对本次采购项目提供过整体设计、规范编制或者项目管理、监理、检测等服务。</w:t>
      </w:r>
    </w:p>
    <w:p>
      <w:pPr>
        <w:pStyle w:val="43"/>
        <w:numPr>
          <w:ilvl w:val="2"/>
          <w:numId w:val="23"/>
        </w:numPr>
        <w:ind w:firstLine="480"/>
        <w:rPr>
          <w:color w:val="auto"/>
          <w:highlight w:val="none"/>
        </w:rPr>
      </w:pPr>
      <w:r>
        <w:rPr>
          <w:rFonts w:hint="eastAsia"/>
          <w:color w:val="auto"/>
          <w:highlight w:val="none"/>
        </w:rPr>
        <w:t>我方参加本次采购活动，不存在我单位实际控制人或者中高级管理人员是本项目采购代理机构的工作人员的情形。</w:t>
      </w:r>
    </w:p>
    <w:p>
      <w:pPr>
        <w:pStyle w:val="43"/>
        <w:numPr>
          <w:ilvl w:val="2"/>
          <w:numId w:val="23"/>
        </w:numPr>
        <w:ind w:firstLine="480"/>
        <w:rPr>
          <w:color w:val="auto"/>
          <w:highlight w:val="none"/>
        </w:rPr>
      </w:pPr>
      <w:r>
        <w:rPr>
          <w:rFonts w:hint="eastAsia"/>
          <w:color w:val="auto"/>
          <w:highlight w:val="none"/>
        </w:rPr>
        <w:t>我方参加本次采购活动，不存在同一母公司的两家以上的子公司以不同供应商身份同时参加本项目同一合同项下的采购活动的情形。</w:t>
      </w:r>
    </w:p>
    <w:p>
      <w:pPr>
        <w:pStyle w:val="43"/>
        <w:numPr>
          <w:ilvl w:val="2"/>
          <w:numId w:val="23"/>
        </w:numPr>
        <w:ind w:firstLine="480"/>
        <w:rPr>
          <w:color w:val="auto"/>
          <w:highlight w:val="none"/>
        </w:rPr>
      </w:pPr>
      <w:r>
        <w:rPr>
          <w:rFonts w:hint="eastAsia"/>
          <w:color w:val="auto"/>
          <w:highlight w:val="none"/>
        </w:rPr>
        <w:t>我方参加本次采购活动，与采购代理机构不存在关联关系，不为采购代理机构的母公司或子公司。</w:t>
      </w:r>
    </w:p>
    <w:p>
      <w:pPr>
        <w:pStyle w:val="43"/>
        <w:numPr>
          <w:ilvl w:val="2"/>
          <w:numId w:val="23"/>
        </w:numPr>
        <w:ind w:firstLine="480"/>
        <w:rPr>
          <w:color w:val="auto"/>
          <w:highlight w:val="none"/>
        </w:rPr>
      </w:pPr>
      <w:r>
        <w:rPr>
          <w:rFonts w:hint="eastAsia"/>
          <w:color w:val="auto"/>
          <w:highlight w:val="none"/>
        </w:rPr>
        <w:t>我方参加本次采购活动，不存在和其他供应商在同一合同项下的采购项目中，同时委托同一个自然人、同一家庭的人员、同一单位的人员作为代理人的行为。</w:t>
      </w:r>
    </w:p>
    <w:p>
      <w:pPr>
        <w:pStyle w:val="43"/>
        <w:numPr>
          <w:ilvl w:val="2"/>
          <w:numId w:val="23"/>
        </w:numPr>
        <w:ind w:firstLine="480"/>
        <w:rPr>
          <w:color w:val="auto"/>
          <w:highlight w:val="none"/>
        </w:rPr>
      </w:pPr>
      <w:r>
        <w:rPr>
          <w:rFonts w:hint="eastAsia"/>
          <w:color w:val="auto"/>
          <w:highlight w:val="none"/>
        </w:rPr>
        <w:t>我方投标文件中提供的任何资料和技术、服务、商务等响应承诺情况都是真实的、有效的、合法的。</w:t>
      </w:r>
    </w:p>
    <w:p>
      <w:pPr>
        <w:pStyle w:val="43"/>
        <w:numPr>
          <w:ilvl w:val="2"/>
          <w:numId w:val="23"/>
        </w:numPr>
        <w:ind w:firstLine="480"/>
        <w:rPr>
          <w:color w:val="auto"/>
          <w:highlight w:val="none"/>
        </w:rPr>
      </w:pPr>
      <w:r>
        <w:rPr>
          <w:rFonts w:hint="eastAsia"/>
          <w:color w:val="auto"/>
          <w:highlight w:val="none"/>
        </w:rPr>
        <w:t>我方参加本次采购活动，我方完全同意招标文件中关于“投标费用”、“合同分包”、“合同转包”、“合同转包”、“履约保证金”等实质性要求，并承诺严格按照招标文件要求履行。</w:t>
      </w:r>
    </w:p>
    <w:p>
      <w:pPr>
        <w:pStyle w:val="43"/>
        <w:numPr>
          <w:ilvl w:val="2"/>
          <w:numId w:val="23"/>
        </w:numPr>
        <w:ind w:firstLine="480"/>
        <w:rPr>
          <w:color w:val="auto"/>
          <w:highlight w:val="none"/>
        </w:rPr>
      </w:pPr>
      <w:r>
        <w:rPr>
          <w:rFonts w:hint="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43"/>
        <w:numPr>
          <w:ilvl w:val="2"/>
          <w:numId w:val="23"/>
        </w:numPr>
        <w:ind w:firstLine="480"/>
        <w:rPr>
          <w:color w:val="auto"/>
          <w:highlight w:val="none"/>
        </w:rPr>
      </w:pPr>
      <w:r>
        <w:rPr>
          <w:rFonts w:hint="eastAsia"/>
          <w:color w:val="auto"/>
          <w:highlight w:val="none"/>
        </w:rPr>
        <w:t>本项目如涉及3C认证产品的，我方参加投标所提供的产品均满足相关要求，承诺在中标后签订采购合同时向采购人提供加盖供应商公章的3C证书复印件。</w:t>
      </w:r>
    </w:p>
    <w:p>
      <w:pPr>
        <w:pStyle w:val="35"/>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31"/>
        <w:rPr>
          <w:color w:val="auto"/>
          <w:highlight w:val="none"/>
        </w:rPr>
      </w:pP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r>
        <w:rPr>
          <w:rFonts w:hint="eastAsia"/>
          <w:color w:val="auto"/>
          <w:highlight w:val="none"/>
        </w:rPr>
        <w:br w:type="page"/>
      </w:r>
    </w:p>
    <w:p>
      <w:pPr>
        <w:pStyle w:val="51"/>
        <w:numPr>
          <w:ilvl w:val="0"/>
          <w:numId w:val="21"/>
        </w:numPr>
        <w:spacing w:before="120" w:after="120"/>
        <w:ind w:firstLine="0"/>
        <w:rPr>
          <w:color w:val="auto"/>
          <w:highlight w:val="none"/>
        </w:rPr>
      </w:pPr>
      <w:bookmarkStart w:id="891" w:name="_Toc17762"/>
      <w:bookmarkStart w:id="892" w:name="_Toc9324"/>
      <w:r>
        <w:rPr>
          <w:rFonts w:hint="eastAsia"/>
          <w:color w:val="auto"/>
          <w:highlight w:val="none"/>
        </w:rPr>
        <w:t>投标人基本情况表</w:t>
      </w:r>
      <w:bookmarkEnd w:id="891"/>
      <w:bookmarkEnd w:id="892"/>
    </w:p>
    <w:tbl>
      <w:tblPr>
        <w:tblStyle w:val="23"/>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2"/>
              <w:spacing w:line="480" w:lineRule="exact"/>
              <w:rPr>
                <w:color w:val="auto"/>
                <w:highlight w:val="none"/>
              </w:rPr>
            </w:pPr>
            <w:r>
              <w:rPr>
                <w:rFonts w:hint="eastAsia"/>
                <w:color w:val="auto"/>
                <w:highlight w:val="none"/>
              </w:rPr>
              <w:t>投标人名称</w:t>
            </w:r>
          </w:p>
        </w:tc>
        <w:tc>
          <w:tcPr>
            <w:tcW w:w="8000" w:type="dxa"/>
            <w:gridSpan w:val="7"/>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2"/>
              <w:spacing w:line="480" w:lineRule="exact"/>
              <w:rPr>
                <w:color w:val="auto"/>
                <w:highlight w:val="none"/>
              </w:rPr>
            </w:pPr>
            <w:r>
              <w:rPr>
                <w:rFonts w:hint="eastAsia"/>
                <w:color w:val="auto"/>
                <w:highlight w:val="none"/>
              </w:rPr>
              <w:t>注册地址</w:t>
            </w:r>
          </w:p>
        </w:tc>
        <w:tc>
          <w:tcPr>
            <w:tcW w:w="3826" w:type="dxa"/>
            <w:gridSpan w:val="3"/>
            <w:vAlign w:val="center"/>
          </w:tcPr>
          <w:p>
            <w:pPr>
              <w:pStyle w:val="52"/>
              <w:spacing w:line="480" w:lineRule="exact"/>
              <w:rPr>
                <w:color w:val="auto"/>
                <w:highlight w:val="none"/>
              </w:rPr>
            </w:pPr>
          </w:p>
        </w:tc>
        <w:tc>
          <w:tcPr>
            <w:tcW w:w="1548" w:type="dxa"/>
            <w:vAlign w:val="center"/>
          </w:tcPr>
          <w:p>
            <w:pPr>
              <w:pStyle w:val="52"/>
              <w:spacing w:line="480" w:lineRule="exact"/>
              <w:rPr>
                <w:color w:val="auto"/>
                <w:highlight w:val="none"/>
              </w:rPr>
            </w:pPr>
            <w:r>
              <w:rPr>
                <w:rFonts w:hint="eastAsia"/>
                <w:color w:val="auto"/>
                <w:highlight w:val="none"/>
              </w:rPr>
              <w:t>邮政编码</w:t>
            </w:r>
          </w:p>
        </w:tc>
        <w:tc>
          <w:tcPr>
            <w:tcW w:w="2626" w:type="dxa"/>
            <w:gridSpan w:val="3"/>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2"/>
              <w:spacing w:line="480" w:lineRule="exact"/>
              <w:rPr>
                <w:color w:val="auto"/>
                <w:highlight w:val="none"/>
              </w:rPr>
            </w:pPr>
            <w:r>
              <w:rPr>
                <w:rFonts w:hint="eastAsia"/>
                <w:color w:val="auto"/>
                <w:highlight w:val="none"/>
              </w:rPr>
              <w:t>联系方式</w:t>
            </w:r>
          </w:p>
        </w:tc>
        <w:tc>
          <w:tcPr>
            <w:tcW w:w="939" w:type="dxa"/>
            <w:vAlign w:val="center"/>
          </w:tcPr>
          <w:p>
            <w:pPr>
              <w:pStyle w:val="52"/>
              <w:spacing w:line="480" w:lineRule="exact"/>
              <w:rPr>
                <w:color w:val="auto"/>
                <w:highlight w:val="none"/>
              </w:rPr>
            </w:pPr>
            <w:r>
              <w:rPr>
                <w:rFonts w:hint="eastAsia"/>
                <w:color w:val="auto"/>
                <w:highlight w:val="none"/>
              </w:rPr>
              <w:t>联系人</w:t>
            </w:r>
          </w:p>
        </w:tc>
        <w:tc>
          <w:tcPr>
            <w:tcW w:w="2887" w:type="dxa"/>
            <w:gridSpan w:val="2"/>
            <w:vAlign w:val="center"/>
          </w:tcPr>
          <w:p>
            <w:pPr>
              <w:pStyle w:val="52"/>
              <w:spacing w:line="480" w:lineRule="exact"/>
              <w:rPr>
                <w:color w:val="auto"/>
                <w:highlight w:val="none"/>
              </w:rPr>
            </w:pPr>
          </w:p>
        </w:tc>
        <w:tc>
          <w:tcPr>
            <w:tcW w:w="1548" w:type="dxa"/>
            <w:vAlign w:val="center"/>
          </w:tcPr>
          <w:p>
            <w:pPr>
              <w:pStyle w:val="52"/>
              <w:spacing w:line="480" w:lineRule="exact"/>
              <w:rPr>
                <w:color w:val="auto"/>
                <w:highlight w:val="none"/>
              </w:rPr>
            </w:pPr>
            <w:r>
              <w:rPr>
                <w:rFonts w:hint="eastAsia"/>
                <w:color w:val="auto"/>
                <w:highlight w:val="none"/>
              </w:rPr>
              <w:t>电话</w:t>
            </w:r>
          </w:p>
        </w:tc>
        <w:tc>
          <w:tcPr>
            <w:tcW w:w="2626" w:type="dxa"/>
            <w:gridSpan w:val="3"/>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2"/>
              <w:spacing w:line="480" w:lineRule="exact"/>
              <w:rPr>
                <w:color w:val="auto"/>
                <w:highlight w:val="none"/>
              </w:rPr>
            </w:pPr>
          </w:p>
        </w:tc>
        <w:tc>
          <w:tcPr>
            <w:tcW w:w="939" w:type="dxa"/>
            <w:vAlign w:val="center"/>
          </w:tcPr>
          <w:p>
            <w:pPr>
              <w:pStyle w:val="52"/>
              <w:spacing w:line="480" w:lineRule="exact"/>
              <w:rPr>
                <w:color w:val="auto"/>
                <w:highlight w:val="none"/>
              </w:rPr>
            </w:pPr>
            <w:r>
              <w:rPr>
                <w:rFonts w:hint="eastAsia"/>
                <w:color w:val="auto"/>
                <w:highlight w:val="none"/>
              </w:rPr>
              <w:t>传真</w:t>
            </w:r>
          </w:p>
        </w:tc>
        <w:tc>
          <w:tcPr>
            <w:tcW w:w="2887" w:type="dxa"/>
            <w:gridSpan w:val="2"/>
            <w:vAlign w:val="center"/>
          </w:tcPr>
          <w:p>
            <w:pPr>
              <w:pStyle w:val="52"/>
              <w:spacing w:line="480" w:lineRule="exact"/>
              <w:rPr>
                <w:color w:val="auto"/>
                <w:highlight w:val="none"/>
              </w:rPr>
            </w:pPr>
          </w:p>
        </w:tc>
        <w:tc>
          <w:tcPr>
            <w:tcW w:w="1548" w:type="dxa"/>
            <w:vAlign w:val="center"/>
          </w:tcPr>
          <w:p>
            <w:pPr>
              <w:pStyle w:val="52"/>
              <w:spacing w:line="480" w:lineRule="exact"/>
              <w:rPr>
                <w:color w:val="auto"/>
                <w:highlight w:val="none"/>
              </w:rPr>
            </w:pPr>
            <w:r>
              <w:rPr>
                <w:rFonts w:hint="eastAsia"/>
                <w:color w:val="auto"/>
                <w:highlight w:val="none"/>
              </w:rPr>
              <w:t>网址</w:t>
            </w:r>
          </w:p>
        </w:tc>
        <w:tc>
          <w:tcPr>
            <w:tcW w:w="2626" w:type="dxa"/>
            <w:gridSpan w:val="3"/>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2"/>
              <w:spacing w:line="480" w:lineRule="exact"/>
              <w:rPr>
                <w:color w:val="auto"/>
                <w:highlight w:val="none"/>
              </w:rPr>
            </w:pPr>
            <w:r>
              <w:rPr>
                <w:rFonts w:hint="eastAsia"/>
                <w:color w:val="auto"/>
                <w:highlight w:val="none"/>
              </w:rPr>
              <w:t>法定代表人</w:t>
            </w:r>
          </w:p>
        </w:tc>
        <w:tc>
          <w:tcPr>
            <w:tcW w:w="939" w:type="dxa"/>
            <w:vAlign w:val="center"/>
          </w:tcPr>
          <w:p>
            <w:pPr>
              <w:pStyle w:val="52"/>
              <w:spacing w:line="480" w:lineRule="exact"/>
              <w:rPr>
                <w:color w:val="auto"/>
                <w:highlight w:val="none"/>
              </w:rPr>
            </w:pPr>
            <w:r>
              <w:rPr>
                <w:rFonts w:hint="eastAsia"/>
                <w:color w:val="auto"/>
                <w:highlight w:val="none"/>
              </w:rPr>
              <w:t>姓名</w:t>
            </w:r>
          </w:p>
        </w:tc>
        <w:tc>
          <w:tcPr>
            <w:tcW w:w="1432" w:type="dxa"/>
            <w:vAlign w:val="center"/>
          </w:tcPr>
          <w:p>
            <w:pPr>
              <w:pStyle w:val="52"/>
              <w:spacing w:line="480" w:lineRule="exact"/>
              <w:rPr>
                <w:color w:val="auto"/>
                <w:highlight w:val="none"/>
              </w:rPr>
            </w:pPr>
          </w:p>
        </w:tc>
        <w:tc>
          <w:tcPr>
            <w:tcW w:w="1455" w:type="dxa"/>
            <w:vAlign w:val="center"/>
          </w:tcPr>
          <w:p>
            <w:pPr>
              <w:pStyle w:val="52"/>
              <w:spacing w:line="480" w:lineRule="exact"/>
              <w:rPr>
                <w:color w:val="auto"/>
                <w:highlight w:val="none"/>
              </w:rPr>
            </w:pPr>
            <w:r>
              <w:rPr>
                <w:rFonts w:hint="eastAsia"/>
                <w:color w:val="auto"/>
                <w:highlight w:val="none"/>
              </w:rPr>
              <w:t>技术职称</w:t>
            </w:r>
          </w:p>
        </w:tc>
        <w:tc>
          <w:tcPr>
            <w:tcW w:w="1548" w:type="dxa"/>
            <w:vAlign w:val="center"/>
          </w:tcPr>
          <w:p>
            <w:pPr>
              <w:pStyle w:val="52"/>
              <w:spacing w:line="480" w:lineRule="exact"/>
              <w:rPr>
                <w:color w:val="auto"/>
                <w:highlight w:val="none"/>
              </w:rPr>
            </w:pPr>
          </w:p>
        </w:tc>
        <w:tc>
          <w:tcPr>
            <w:tcW w:w="1364" w:type="dxa"/>
            <w:gridSpan w:val="2"/>
            <w:vAlign w:val="center"/>
          </w:tcPr>
          <w:p>
            <w:pPr>
              <w:pStyle w:val="52"/>
              <w:spacing w:line="480" w:lineRule="exact"/>
              <w:rPr>
                <w:color w:val="auto"/>
                <w:highlight w:val="none"/>
              </w:rPr>
            </w:pPr>
            <w:r>
              <w:rPr>
                <w:rFonts w:hint="eastAsia"/>
                <w:color w:val="auto"/>
                <w:highlight w:val="none"/>
              </w:rPr>
              <w:t>电话</w:t>
            </w:r>
          </w:p>
        </w:tc>
        <w:tc>
          <w:tcPr>
            <w:tcW w:w="1262" w:type="dxa"/>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2"/>
              <w:spacing w:line="480" w:lineRule="exact"/>
              <w:rPr>
                <w:color w:val="auto"/>
                <w:highlight w:val="none"/>
              </w:rPr>
            </w:pPr>
            <w:r>
              <w:rPr>
                <w:rFonts w:hint="eastAsia"/>
                <w:color w:val="auto"/>
                <w:highlight w:val="none"/>
              </w:rPr>
              <w:t>技术负责人</w:t>
            </w:r>
          </w:p>
        </w:tc>
        <w:tc>
          <w:tcPr>
            <w:tcW w:w="939" w:type="dxa"/>
            <w:vAlign w:val="center"/>
          </w:tcPr>
          <w:p>
            <w:pPr>
              <w:pStyle w:val="52"/>
              <w:spacing w:line="480" w:lineRule="exact"/>
              <w:rPr>
                <w:color w:val="auto"/>
                <w:highlight w:val="none"/>
              </w:rPr>
            </w:pPr>
            <w:r>
              <w:rPr>
                <w:rFonts w:hint="eastAsia"/>
                <w:color w:val="auto"/>
                <w:highlight w:val="none"/>
              </w:rPr>
              <w:t>姓名</w:t>
            </w:r>
          </w:p>
        </w:tc>
        <w:tc>
          <w:tcPr>
            <w:tcW w:w="1432" w:type="dxa"/>
            <w:vAlign w:val="center"/>
          </w:tcPr>
          <w:p>
            <w:pPr>
              <w:pStyle w:val="52"/>
              <w:spacing w:line="480" w:lineRule="exact"/>
              <w:rPr>
                <w:color w:val="auto"/>
                <w:highlight w:val="none"/>
              </w:rPr>
            </w:pPr>
          </w:p>
        </w:tc>
        <w:tc>
          <w:tcPr>
            <w:tcW w:w="1455" w:type="dxa"/>
            <w:vAlign w:val="center"/>
          </w:tcPr>
          <w:p>
            <w:pPr>
              <w:pStyle w:val="52"/>
              <w:spacing w:line="480" w:lineRule="exact"/>
              <w:rPr>
                <w:color w:val="auto"/>
                <w:highlight w:val="none"/>
              </w:rPr>
            </w:pPr>
            <w:r>
              <w:rPr>
                <w:rFonts w:hint="eastAsia"/>
                <w:color w:val="auto"/>
                <w:highlight w:val="none"/>
              </w:rPr>
              <w:t>技术职称</w:t>
            </w:r>
          </w:p>
        </w:tc>
        <w:tc>
          <w:tcPr>
            <w:tcW w:w="1548" w:type="dxa"/>
            <w:vAlign w:val="center"/>
          </w:tcPr>
          <w:p>
            <w:pPr>
              <w:pStyle w:val="52"/>
              <w:spacing w:line="480" w:lineRule="exact"/>
              <w:rPr>
                <w:color w:val="auto"/>
                <w:highlight w:val="none"/>
              </w:rPr>
            </w:pPr>
          </w:p>
        </w:tc>
        <w:tc>
          <w:tcPr>
            <w:tcW w:w="1364" w:type="dxa"/>
            <w:gridSpan w:val="2"/>
            <w:vAlign w:val="center"/>
          </w:tcPr>
          <w:p>
            <w:pPr>
              <w:pStyle w:val="52"/>
              <w:spacing w:line="480" w:lineRule="exact"/>
              <w:rPr>
                <w:color w:val="auto"/>
                <w:highlight w:val="none"/>
              </w:rPr>
            </w:pPr>
            <w:r>
              <w:rPr>
                <w:rFonts w:hint="eastAsia"/>
                <w:color w:val="auto"/>
                <w:highlight w:val="none"/>
              </w:rPr>
              <w:t>电话</w:t>
            </w:r>
          </w:p>
        </w:tc>
        <w:tc>
          <w:tcPr>
            <w:tcW w:w="1262" w:type="dxa"/>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2"/>
              <w:spacing w:line="480" w:lineRule="exact"/>
              <w:rPr>
                <w:color w:val="auto"/>
                <w:highlight w:val="none"/>
              </w:rPr>
            </w:pPr>
            <w:r>
              <w:rPr>
                <w:rFonts w:hint="eastAsia"/>
                <w:color w:val="auto"/>
                <w:highlight w:val="none"/>
              </w:rPr>
              <w:t>成立时间</w:t>
            </w:r>
          </w:p>
        </w:tc>
        <w:tc>
          <w:tcPr>
            <w:tcW w:w="2371" w:type="dxa"/>
            <w:gridSpan w:val="2"/>
            <w:vAlign w:val="center"/>
          </w:tcPr>
          <w:p>
            <w:pPr>
              <w:pStyle w:val="52"/>
              <w:spacing w:line="480" w:lineRule="exact"/>
              <w:rPr>
                <w:color w:val="auto"/>
                <w:highlight w:val="none"/>
              </w:rPr>
            </w:pPr>
          </w:p>
        </w:tc>
        <w:tc>
          <w:tcPr>
            <w:tcW w:w="5629" w:type="dxa"/>
            <w:gridSpan w:val="5"/>
            <w:vAlign w:val="center"/>
          </w:tcPr>
          <w:p>
            <w:pPr>
              <w:pStyle w:val="52"/>
              <w:spacing w:line="480" w:lineRule="exact"/>
              <w:rPr>
                <w:color w:val="auto"/>
                <w:highlight w:val="none"/>
              </w:rPr>
            </w:pPr>
            <w:r>
              <w:rPr>
                <w:rFonts w:hint="eastAsia"/>
                <w:color w:val="auto"/>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2"/>
              <w:spacing w:line="480" w:lineRule="exact"/>
              <w:rPr>
                <w:color w:val="auto"/>
                <w:highlight w:val="none"/>
              </w:rPr>
            </w:pPr>
            <w:r>
              <w:rPr>
                <w:rFonts w:hint="eastAsia"/>
                <w:color w:val="auto"/>
                <w:highlight w:val="none"/>
              </w:rPr>
              <w:t>企业资质等级</w:t>
            </w:r>
          </w:p>
        </w:tc>
        <w:tc>
          <w:tcPr>
            <w:tcW w:w="2371" w:type="dxa"/>
            <w:gridSpan w:val="2"/>
            <w:vAlign w:val="center"/>
          </w:tcPr>
          <w:p>
            <w:pPr>
              <w:pStyle w:val="52"/>
              <w:spacing w:line="480" w:lineRule="exact"/>
              <w:rPr>
                <w:color w:val="auto"/>
                <w:highlight w:val="none"/>
              </w:rPr>
            </w:pPr>
          </w:p>
        </w:tc>
        <w:tc>
          <w:tcPr>
            <w:tcW w:w="1455" w:type="dxa"/>
            <w:vMerge w:val="restart"/>
            <w:vAlign w:val="center"/>
          </w:tcPr>
          <w:p>
            <w:pPr>
              <w:pStyle w:val="52"/>
              <w:spacing w:line="480" w:lineRule="exact"/>
              <w:rPr>
                <w:color w:val="auto"/>
                <w:highlight w:val="none"/>
              </w:rPr>
            </w:pPr>
            <w:r>
              <w:rPr>
                <w:rFonts w:hint="eastAsia"/>
                <w:color w:val="auto"/>
                <w:highlight w:val="none"/>
              </w:rPr>
              <w:t>其中</w:t>
            </w:r>
          </w:p>
        </w:tc>
        <w:tc>
          <w:tcPr>
            <w:tcW w:w="1734" w:type="dxa"/>
            <w:gridSpan w:val="2"/>
            <w:vAlign w:val="center"/>
          </w:tcPr>
          <w:p>
            <w:pPr>
              <w:pStyle w:val="52"/>
              <w:spacing w:line="480" w:lineRule="exact"/>
              <w:rPr>
                <w:color w:val="auto"/>
                <w:highlight w:val="none"/>
              </w:rPr>
            </w:pPr>
            <w:r>
              <w:rPr>
                <w:rFonts w:hint="eastAsia"/>
                <w:color w:val="auto"/>
                <w:highlight w:val="none"/>
              </w:rPr>
              <w:t>项目经理</w:t>
            </w:r>
          </w:p>
        </w:tc>
        <w:tc>
          <w:tcPr>
            <w:tcW w:w="2440" w:type="dxa"/>
            <w:gridSpan w:val="2"/>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2"/>
              <w:spacing w:line="480" w:lineRule="exact"/>
              <w:rPr>
                <w:color w:val="auto"/>
                <w:highlight w:val="none"/>
              </w:rPr>
            </w:pPr>
            <w:r>
              <w:rPr>
                <w:rFonts w:hint="eastAsia"/>
                <w:color w:val="auto"/>
                <w:highlight w:val="none"/>
              </w:rPr>
              <w:t>营业执照号/统一社会信用代码</w:t>
            </w:r>
          </w:p>
        </w:tc>
        <w:tc>
          <w:tcPr>
            <w:tcW w:w="2371" w:type="dxa"/>
            <w:gridSpan w:val="2"/>
            <w:vAlign w:val="center"/>
          </w:tcPr>
          <w:p>
            <w:pPr>
              <w:pStyle w:val="52"/>
              <w:spacing w:line="480" w:lineRule="exact"/>
              <w:rPr>
                <w:color w:val="auto"/>
                <w:highlight w:val="none"/>
              </w:rPr>
            </w:pPr>
          </w:p>
        </w:tc>
        <w:tc>
          <w:tcPr>
            <w:tcW w:w="1455" w:type="dxa"/>
            <w:vMerge w:val="continue"/>
            <w:vAlign w:val="center"/>
          </w:tcPr>
          <w:p>
            <w:pPr>
              <w:pStyle w:val="52"/>
              <w:spacing w:line="480" w:lineRule="exact"/>
              <w:rPr>
                <w:color w:val="auto"/>
                <w:highlight w:val="none"/>
              </w:rPr>
            </w:pPr>
          </w:p>
        </w:tc>
        <w:tc>
          <w:tcPr>
            <w:tcW w:w="1734" w:type="dxa"/>
            <w:gridSpan w:val="2"/>
            <w:vAlign w:val="center"/>
          </w:tcPr>
          <w:p>
            <w:pPr>
              <w:pStyle w:val="52"/>
              <w:spacing w:line="480" w:lineRule="exact"/>
              <w:rPr>
                <w:color w:val="auto"/>
                <w:highlight w:val="none"/>
              </w:rPr>
            </w:pPr>
            <w:r>
              <w:rPr>
                <w:rFonts w:hint="eastAsia"/>
                <w:color w:val="auto"/>
                <w:highlight w:val="none"/>
              </w:rPr>
              <w:t>高级职称人员</w:t>
            </w:r>
          </w:p>
        </w:tc>
        <w:tc>
          <w:tcPr>
            <w:tcW w:w="2440" w:type="dxa"/>
            <w:gridSpan w:val="2"/>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2"/>
              <w:spacing w:line="480" w:lineRule="exact"/>
              <w:rPr>
                <w:color w:val="auto"/>
                <w:highlight w:val="none"/>
              </w:rPr>
            </w:pPr>
            <w:r>
              <w:rPr>
                <w:rFonts w:hint="eastAsia"/>
                <w:color w:val="auto"/>
                <w:highlight w:val="none"/>
              </w:rPr>
              <w:t>注册资金</w:t>
            </w:r>
          </w:p>
        </w:tc>
        <w:tc>
          <w:tcPr>
            <w:tcW w:w="2371" w:type="dxa"/>
            <w:gridSpan w:val="2"/>
            <w:vAlign w:val="center"/>
          </w:tcPr>
          <w:p>
            <w:pPr>
              <w:pStyle w:val="52"/>
              <w:spacing w:line="480" w:lineRule="exact"/>
              <w:rPr>
                <w:color w:val="auto"/>
                <w:highlight w:val="none"/>
              </w:rPr>
            </w:pPr>
          </w:p>
        </w:tc>
        <w:tc>
          <w:tcPr>
            <w:tcW w:w="1455" w:type="dxa"/>
            <w:vMerge w:val="continue"/>
            <w:vAlign w:val="center"/>
          </w:tcPr>
          <w:p>
            <w:pPr>
              <w:pStyle w:val="52"/>
              <w:spacing w:line="480" w:lineRule="exact"/>
              <w:rPr>
                <w:color w:val="auto"/>
                <w:highlight w:val="none"/>
              </w:rPr>
            </w:pPr>
          </w:p>
        </w:tc>
        <w:tc>
          <w:tcPr>
            <w:tcW w:w="1734" w:type="dxa"/>
            <w:gridSpan w:val="2"/>
            <w:vAlign w:val="center"/>
          </w:tcPr>
          <w:p>
            <w:pPr>
              <w:pStyle w:val="52"/>
              <w:spacing w:line="480" w:lineRule="exact"/>
              <w:rPr>
                <w:color w:val="auto"/>
                <w:highlight w:val="none"/>
              </w:rPr>
            </w:pPr>
            <w:r>
              <w:rPr>
                <w:rFonts w:hint="eastAsia"/>
                <w:color w:val="auto"/>
                <w:highlight w:val="none"/>
              </w:rPr>
              <w:t>中级职称人员</w:t>
            </w:r>
          </w:p>
        </w:tc>
        <w:tc>
          <w:tcPr>
            <w:tcW w:w="2440" w:type="dxa"/>
            <w:gridSpan w:val="2"/>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2"/>
              <w:spacing w:line="480" w:lineRule="exact"/>
              <w:rPr>
                <w:color w:val="auto"/>
                <w:highlight w:val="none"/>
              </w:rPr>
            </w:pPr>
            <w:r>
              <w:rPr>
                <w:rFonts w:hint="eastAsia"/>
                <w:color w:val="auto"/>
                <w:highlight w:val="none"/>
              </w:rPr>
              <w:t>开户银行</w:t>
            </w:r>
          </w:p>
        </w:tc>
        <w:tc>
          <w:tcPr>
            <w:tcW w:w="2371" w:type="dxa"/>
            <w:gridSpan w:val="2"/>
            <w:vAlign w:val="center"/>
          </w:tcPr>
          <w:p>
            <w:pPr>
              <w:pStyle w:val="52"/>
              <w:spacing w:line="480" w:lineRule="exact"/>
              <w:rPr>
                <w:color w:val="auto"/>
                <w:highlight w:val="none"/>
              </w:rPr>
            </w:pPr>
          </w:p>
        </w:tc>
        <w:tc>
          <w:tcPr>
            <w:tcW w:w="1455" w:type="dxa"/>
            <w:vMerge w:val="continue"/>
            <w:vAlign w:val="center"/>
          </w:tcPr>
          <w:p>
            <w:pPr>
              <w:pStyle w:val="52"/>
              <w:spacing w:line="480" w:lineRule="exact"/>
              <w:rPr>
                <w:color w:val="auto"/>
                <w:highlight w:val="none"/>
              </w:rPr>
            </w:pPr>
          </w:p>
        </w:tc>
        <w:tc>
          <w:tcPr>
            <w:tcW w:w="1734" w:type="dxa"/>
            <w:gridSpan w:val="2"/>
            <w:vAlign w:val="center"/>
          </w:tcPr>
          <w:p>
            <w:pPr>
              <w:pStyle w:val="52"/>
              <w:spacing w:line="480" w:lineRule="exact"/>
              <w:rPr>
                <w:color w:val="auto"/>
                <w:highlight w:val="none"/>
              </w:rPr>
            </w:pPr>
            <w:r>
              <w:rPr>
                <w:rFonts w:hint="eastAsia"/>
                <w:color w:val="auto"/>
                <w:highlight w:val="none"/>
              </w:rPr>
              <w:t>初级职称人员</w:t>
            </w:r>
          </w:p>
        </w:tc>
        <w:tc>
          <w:tcPr>
            <w:tcW w:w="2440" w:type="dxa"/>
            <w:gridSpan w:val="2"/>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2"/>
              <w:spacing w:line="480" w:lineRule="exact"/>
              <w:rPr>
                <w:color w:val="auto"/>
                <w:highlight w:val="none"/>
              </w:rPr>
            </w:pPr>
            <w:r>
              <w:rPr>
                <w:rFonts w:hint="eastAsia"/>
                <w:color w:val="auto"/>
                <w:highlight w:val="none"/>
              </w:rPr>
              <w:t>账号</w:t>
            </w:r>
          </w:p>
        </w:tc>
        <w:tc>
          <w:tcPr>
            <w:tcW w:w="2371" w:type="dxa"/>
            <w:gridSpan w:val="2"/>
            <w:vAlign w:val="center"/>
          </w:tcPr>
          <w:p>
            <w:pPr>
              <w:pStyle w:val="52"/>
              <w:spacing w:line="480" w:lineRule="exact"/>
              <w:rPr>
                <w:color w:val="auto"/>
                <w:highlight w:val="none"/>
              </w:rPr>
            </w:pPr>
          </w:p>
        </w:tc>
        <w:tc>
          <w:tcPr>
            <w:tcW w:w="1455" w:type="dxa"/>
            <w:vMerge w:val="continue"/>
            <w:vAlign w:val="center"/>
          </w:tcPr>
          <w:p>
            <w:pPr>
              <w:pStyle w:val="52"/>
              <w:spacing w:line="480" w:lineRule="exact"/>
              <w:rPr>
                <w:color w:val="auto"/>
                <w:highlight w:val="none"/>
              </w:rPr>
            </w:pPr>
          </w:p>
        </w:tc>
        <w:tc>
          <w:tcPr>
            <w:tcW w:w="1734" w:type="dxa"/>
            <w:gridSpan w:val="2"/>
            <w:vAlign w:val="center"/>
          </w:tcPr>
          <w:p>
            <w:pPr>
              <w:pStyle w:val="52"/>
              <w:spacing w:line="480" w:lineRule="exact"/>
              <w:rPr>
                <w:color w:val="auto"/>
                <w:highlight w:val="none"/>
              </w:rPr>
            </w:pPr>
            <w:r>
              <w:rPr>
                <w:rFonts w:hint="eastAsia"/>
                <w:color w:val="auto"/>
                <w:highlight w:val="none"/>
              </w:rPr>
              <w:t>技工</w:t>
            </w:r>
          </w:p>
        </w:tc>
        <w:tc>
          <w:tcPr>
            <w:tcW w:w="2440" w:type="dxa"/>
            <w:gridSpan w:val="2"/>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2"/>
              <w:spacing w:line="480" w:lineRule="exact"/>
              <w:rPr>
                <w:color w:val="auto"/>
                <w:highlight w:val="none"/>
              </w:rPr>
            </w:pPr>
            <w:r>
              <w:rPr>
                <w:rFonts w:hint="eastAsia"/>
                <w:color w:val="auto"/>
                <w:highlight w:val="none"/>
              </w:rPr>
              <w:t>经营范围</w:t>
            </w:r>
          </w:p>
        </w:tc>
        <w:tc>
          <w:tcPr>
            <w:tcW w:w="8000" w:type="dxa"/>
            <w:gridSpan w:val="7"/>
            <w:vAlign w:val="center"/>
          </w:tcPr>
          <w:p>
            <w:pPr>
              <w:pStyle w:val="52"/>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2"/>
              <w:spacing w:line="480" w:lineRule="exact"/>
              <w:rPr>
                <w:color w:val="auto"/>
                <w:highlight w:val="none"/>
              </w:rPr>
            </w:pPr>
            <w:r>
              <w:rPr>
                <w:rFonts w:hint="eastAsia"/>
                <w:color w:val="auto"/>
                <w:highlight w:val="none"/>
              </w:rPr>
              <w:t>备注</w:t>
            </w:r>
          </w:p>
        </w:tc>
        <w:tc>
          <w:tcPr>
            <w:tcW w:w="8000" w:type="dxa"/>
            <w:gridSpan w:val="7"/>
          </w:tcPr>
          <w:p>
            <w:pPr>
              <w:pStyle w:val="52"/>
              <w:spacing w:line="480" w:lineRule="exact"/>
              <w:rPr>
                <w:color w:val="auto"/>
                <w:highlight w:val="none"/>
              </w:rPr>
            </w:pPr>
          </w:p>
        </w:tc>
      </w:tr>
    </w:tbl>
    <w:p>
      <w:pPr>
        <w:pStyle w:val="53"/>
        <w:ind w:firstLine="482"/>
        <w:rPr>
          <w:color w:val="auto"/>
          <w:highlight w:val="none"/>
        </w:rPr>
      </w:pPr>
      <w:r>
        <w:rPr>
          <w:rFonts w:hint="eastAsia"/>
          <w:color w:val="auto"/>
          <w:highlight w:val="none"/>
        </w:rPr>
        <w:t>注：投标人根据自身实际情况填写，对不涉及的内容可填写“/”，不影响投标资质及效力。</w:t>
      </w: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5"/>
        <w:rPr>
          <w:color w:val="auto"/>
          <w:highlight w:val="none"/>
        </w:rPr>
      </w:pPr>
      <w:r>
        <w:rPr>
          <w:rFonts w:hint="eastAsia"/>
          <w:color w:val="auto"/>
          <w:highlight w:val="none"/>
        </w:rPr>
        <w:br w:type="page"/>
      </w:r>
    </w:p>
    <w:p>
      <w:pPr>
        <w:pStyle w:val="51"/>
        <w:numPr>
          <w:ilvl w:val="0"/>
          <w:numId w:val="21"/>
        </w:numPr>
        <w:spacing w:before="120" w:after="120"/>
        <w:ind w:firstLine="0"/>
        <w:rPr>
          <w:color w:val="auto"/>
          <w:highlight w:val="none"/>
        </w:rPr>
      </w:pPr>
      <w:bookmarkStart w:id="893" w:name="_Toc30133"/>
      <w:bookmarkStart w:id="894" w:name="_Toc1650"/>
      <w:bookmarkStart w:id="895" w:name="_Toc5308"/>
      <w:bookmarkStart w:id="896" w:name="_Toc19766"/>
      <w:bookmarkStart w:id="897" w:name="_Toc24171"/>
      <w:r>
        <w:rPr>
          <w:rFonts w:hint="eastAsia"/>
          <w:color w:val="auto"/>
          <w:highlight w:val="none"/>
        </w:rPr>
        <w:t>开标一览表</w:t>
      </w:r>
      <w:bookmarkEnd w:id="893"/>
      <w:bookmarkEnd w:id="894"/>
      <w:bookmarkEnd w:id="895"/>
      <w:bookmarkEnd w:id="896"/>
      <w:bookmarkEnd w:id="897"/>
    </w:p>
    <w:p>
      <w:pPr>
        <w:pStyle w:val="31"/>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31"/>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080"/>
        <w:gridCol w:w="839"/>
        <w:gridCol w:w="1803"/>
        <w:gridCol w:w="1219"/>
        <w:gridCol w:w="1219"/>
        <w:gridCol w:w="1219"/>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5"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044"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标的名称</w:t>
            </w:r>
          </w:p>
        </w:tc>
        <w:tc>
          <w:tcPr>
            <w:tcW w:w="421"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905"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品牌</w:t>
            </w:r>
          </w:p>
        </w:tc>
        <w:tc>
          <w:tcPr>
            <w:tcW w:w="612"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规格/型号</w:t>
            </w:r>
          </w:p>
        </w:tc>
        <w:tc>
          <w:tcPr>
            <w:tcW w:w="612"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单价</w:t>
            </w:r>
          </w:p>
        </w:tc>
        <w:tc>
          <w:tcPr>
            <w:tcW w:w="612"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合计金额(元)</w:t>
            </w:r>
          </w:p>
        </w:tc>
        <w:tc>
          <w:tcPr>
            <w:tcW w:w="409" w:type="pct"/>
            <w:vAlign w:val="center"/>
          </w:tcPr>
          <w:p>
            <w:pPr>
              <w:pStyle w:val="52"/>
              <w:keepNext w:val="0"/>
              <w:keepLines w:val="0"/>
              <w:pageBreakBefore w:val="0"/>
              <w:widowControl w:val="0"/>
              <w:kinsoku/>
              <w:overflowPunct/>
              <w:autoSpaceDE/>
              <w:autoSpaceDN/>
              <w:bidi w:val="0"/>
              <w:adjustRightInd w:val="0"/>
              <w:snapToGrid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教学用教具车</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1辆</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整车故障设置平台和故障检测盒</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1套</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故障诊断仪</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万用接线盒</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2盒</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kern w:val="0"/>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绝缘工作台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4张</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新能源汽车动力总成拆装实训台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动力蓄电池装调智能供应站</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动力蓄电池分装调试工作站</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充电装置装调智能供应站</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充电装置分装调试工作站</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高压系统三合一测试负载</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套</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动力电池PACK装调与检测技术平台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动力电池PACK装调与检测技术平台智能教学系统</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套</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纯电动汽车驱动系统装调与检测技术平台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动力电池分容柜</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kern w:val="0"/>
                <w:sz w:val="21"/>
                <w:szCs w:val="21"/>
                <w:highlight w:val="none"/>
              </w:rPr>
              <w:t>套</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检测工具套装</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kern w:val="0"/>
                <w:sz w:val="21"/>
                <w:szCs w:val="21"/>
                <w:highlight w:val="none"/>
              </w:rPr>
              <w:t>套</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新能源实训用整车</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1辆</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整车故障设置与检测连接平台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1台</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19</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动力总成及电池智能教学平台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1套</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电池管理系统平台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1件</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21</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动力电机管理系统平台</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1件</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5" w:type="pct"/>
            <w:vAlign w:val="center"/>
          </w:tcPr>
          <w:p>
            <w:pPr>
              <w:keepNext w:val="0"/>
              <w:keepLines w:val="0"/>
              <w:pageBreakBefore w:val="0"/>
              <w:widowControl w:val="0"/>
              <w:kinsoku/>
              <w:overflowPunct/>
              <w:autoSpaceDE/>
              <w:autoSpaceDN/>
              <w:bidi w:val="0"/>
              <w:adjustRightInd w:val="0"/>
              <w:snapToGrid w:val="0"/>
              <w:spacing w:line="36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22</w:t>
            </w:r>
          </w:p>
        </w:tc>
        <w:tc>
          <w:tcPr>
            <w:tcW w:w="1044"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车辆控制器</w:t>
            </w:r>
          </w:p>
        </w:tc>
        <w:tc>
          <w:tcPr>
            <w:tcW w:w="421"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1件</w:t>
            </w:r>
          </w:p>
        </w:tc>
        <w:tc>
          <w:tcPr>
            <w:tcW w:w="905" w:type="pct"/>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612"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c>
          <w:tcPr>
            <w:tcW w:w="409" w:type="pct"/>
            <w:vAlign w:val="center"/>
          </w:tcPr>
          <w:p>
            <w:pPr>
              <w:pStyle w:val="31"/>
              <w:keepNext w:val="0"/>
              <w:keepLines w:val="0"/>
              <w:pageBreakBefore w:val="0"/>
              <w:widowControl w:val="0"/>
              <w:kinsoku/>
              <w:overflowPunct/>
              <w:autoSpaceDE/>
              <w:autoSpaceDN/>
              <w:bidi w:val="0"/>
              <w:adjustRightInd w:val="0"/>
              <w:snapToGrid w:val="0"/>
              <w:spacing w:line="36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gridSpan w:val="2"/>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投标总价(元)</w:t>
            </w:r>
          </w:p>
        </w:tc>
        <w:tc>
          <w:tcPr>
            <w:tcW w:w="3572" w:type="pct"/>
            <w:gridSpan w:val="6"/>
            <w:vAlign w:val="center"/>
          </w:tcPr>
          <w:p>
            <w:pPr>
              <w:pStyle w:val="31"/>
              <w:keepNext w:val="0"/>
              <w:keepLines w:val="0"/>
              <w:pageBreakBefore w:val="0"/>
              <w:widowControl w:val="0"/>
              <w:kinsoku/>
              <w:overflowPunct/>
              <w:autoSpaceDE/>
              <w:autoSpaceDN/>
              <w:bidi w:val="0"/>
              <w:adjustRightInd w:val="0"/>
              <w:snapToGrid w:val="0"/>
              <w:spacing w:line="360" w:lineRule="exact"/>
              <w:jc w:val="both"/>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小写人民币：</w:t>
            </w:r>
            <w:r>
              <w:rPr>
                <w:rFonts w:hint="eastAsia" w:ascii="宋体" w:hAnsi="宋体" w:eastAsia="宋体" w:cs="宋体"/>
                <w:color w:val="auto"/>
                <w:sz w:val="21"/>
                <w:szCs w:val="21"/>
                <w:highlight w:val="none"/>
                <w:u w:val="single"/>
              </w:rPr>
              <w:t xml:space="preserve">           (大写人民币：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28" w:type="pct"/>
            <w:gridSpan w:val="2"/>
            <w:vAlign w:val="center"/>
          </w:tcPr>
          <w:p>
            <w:pPr>
              <w:keepNext w:val="0"/>
              <w:keepLines w:val="0"/>
              <w:pageBreakBefore w:val="0"/>
              <w:widowControl w:val="0"/>
              <w:kinsoku/>
              <w:wordWrap w:val="0"/>
              <w:overflowPunct/>
              <w:autoSpaceDE/>
              <w:autoSpaceDN/>
              <w:bidi w:val="0"/>
              <w:adjustRightInd w:val="0"/>
              <w:snapToGrid w:val="0"/>
              <w:spacing w:line="36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履约时间</w:t>
            </w:r>
          </w:p>
        </w:tc>
        <w:tc>
          <w:tcPr>
            <w:tcW w:w="3572" w:type="pct"/>
            <w:gridSpan w:val="6"/>
          </w:tcPr>
          <w:p>
            <w:pPr>
              <w:pStyle w:val="31"/>
              <w:keepNext w:val="0"/>
              <w:keepLines w:val="0"/>
              <w:pageBreakBefore w:val="0"/>
              <w:widowControl w:val="0"/>
              <w:kinsoku/>
              <w:overflowPunct/>
              <w:autoSpaceDE/>
              <w:autoSpaceDN/>
              <w:bidi w:val="0"/>
              <w:adjustRightInd w:val="0"/>
              <w:snapToGrid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1.合同签订之日起</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日历天内(含法定节假日),在采购人指定交货地点完成所有设备的送货、安装、调试、培训工作。</w:t>
            </w:r>
          </w:p>
          <w:p>
            <w:pPr>
              <w:pStyle w:val="31"/>
              <w:keepNext w:val="0"/>
              <w:keepLines w:val="0"/>
              <w:pageBreakBefore w:val="0"/>
              <w:widowControl w:val="0"/>
              <w:kinsoku/>
              <w:overflowPunct/>
              <w:autoSpaceDE/>
              <w:autoSpaceDN/>
              <w:bidi w:val="0"/>
              <w:adjustRightInd w:val="0"/>
              <w:snapToGrid w:val="0"/>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2.售后服务时间：投标人提供一年的售后服务，售后服务期的起始日期为采购人现场设备验收合格之日起开始计算。</w:t>
            </w:r>
          </w:p>
        </w:tc>
      </w:tr>
    </w:tbl>
    <w:p>
      <w:pPr>
        <w:pStyle w:val="53"/>
        <w:ind w:firstLine="482"/>
        <w:rPr>
          <w:b w:val="0"/>
          <w:bCs/>
          <w:color w:val="auto"/>
          <w:highlight w:val="none"/>
        </w:rPr>
      </w:pPr>
      <w:r>
        <w:rPr>
          <w:rFonts w:hint="eastAsia"/>
          <w:color w:val="auto"/>
          <w:highlight w:val="none"/>
        </w:rPr>
        <w:t>注：</w:t>
      </w:r>
      <w:r>
        <w:rPr>
          <w:rFonts w:hint="eastAsia"/>
          <w:b w:val="0"/>
          <w:bCs/>
          <w:color w:val="auto"/>
          <w:highlight w:val="none"/>
        </w:rPr>
        <w:t>①报价应是投标人响应招标项目要求的全部采购内容的价格体现，包括但不限于设备的供货、包装、运输、安装、调试、培训、售后服务、税费等与完成本项目有关的所有费用。</w:t>
      </w:r>
    </w:p>
    <w:p>
      <w:pPr>
        <w:pStyle w:val="53"/>
        <w:ind w:firstLine="482"/>
        <w:rPr>
          <w:color w:val="auto"/>
          <w:highlight w:val="none"/>
        </w:rPr>
      </w:pPr>
      <w:r>
        <w:rPr>
          <w:rFonts w:hint="eastAsia"/>
          <w:color w:val="auto"/>
          <w:highlight w:val="none"/>
        </w:rPr>
        <w:t>②“开标一览表”为多页的，每页均需加盖投标人印章，否则作无效投标处理。</w:t>
      </w:r>
    </w:p>
    <w:p>
      <w:pPr>
        <w:pStyle w:val="53"/>
        <w:ind w:firstLine="482"/>
        <w:rPr>
          <w:color w:val="auto"/>
          <w:highlight w:val="none"/>
        </w:rPr>
      </w:pPr>
      <w:r>
        <w:rPr>
          <w:rFonts w:hint="eastAsia"/>
          <w:color w:val="auto"/>
          <w:highlight w:val="none"/>
        </w:rPr>
        <w:t>③“开标一览表”除了单独递交外，其他投标文件(正副本)中也应当提供，如有遗漏，将视为无效投标。</w:t>
      </w: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1"/>
        <w:ind w:firstLine="480" w:firstLineChars="200"/>
        <w:rPr>
          <w:color w:val="auto"/>
          <w:highlight w:val="none"/>
        </w:rPr>
      </w:pPr>
      <w:r>
        <w:rPr>
          <w:rFonts w:hint="eastAsia"/>
          <w:color w:val="auto"/>
          <w:highlight w:val="none"/>
        </w:rPr>
        <w:t>投标日期：</w:t>
      </w:r>
      <w:bookmarkStart w:id="898" w:name="_Toc7728"/>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br w:type="page"/>
      </w:r>
    </w:p>
    <w:p>
      <w:pPr>
        <w:pStyle w:val="51"/>
        <w:numPr>
          <w:ilvl w:val="0"/>
          <w:numId w:val="21"/>
        </w:numPr>
        <w:spacing w:before="120" w:after="120"/>
        <w:ind w:firstLine="0"/>
        <w:rPr>
          <w:color w:val="auto"/>
          <w:highlight w:val="none"/>
        </w:rPr>
      </w:pPr>
      <w:bookmarkStart w:id="899" w:name="_Toc19101"/>
      <w:bookmarkStart w:id="900" w:name="_Toc9272"/>
      <w:bookmarkStart w:id="901" w:name="_Toc23742"/>
      <w:r>
        <w:rPr>
          <w:rFonts w:hint="eastAsia"/>
          <w:color w:val="auto"/>
          <w:highlight w:val="none"/>
        </w:rPr>
        <w:t>分项报价明细表</w:t>
      </w:r>
      <w:bookmarkEnd w:id="898"/>
      <w:bookmarkEnd w:id="899"/>
      <w:bookmarkEnd w:id="900"/>
      <w:bookmarkEnd w:id="901"/>
    </w:p>
    <w:p>
      <w:pPr>
        <w:pStyle w:val="31"/>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31"/>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59"/>
        <w:gridCol w:w="1014"/>
        <w:gridCol w:w="1014"/>
        <w:gridCol w:w="1014"/>
        <w:gridCol w:w="1014"/>
        <w:gridCol w:w="1014"/>
        <w:gridCol w:w="1014"/>
        <w:gridCol w:w="101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681" w:type="dxa"/>
            <w:vAlign w:val="center"/>
          </w:tcPr>
          <w:p>
            <w:pPr>
              <w:pStyle w:val="52"/>
              <w:rPr>
                <w:b/>
                <w:bCs/>
                <w:color w:val="auto"/>
                <w:highlight w:val="none"/>
              </w:rPr>
            </w:pPr>
            <w:bookmarkStart w:id="902" w:name="_Toc24396"/>
            <w:r>
              <w:rPr>
                <w:rFonts w:hint="eastAsia"/>
                <w:b/>
                <w:bCs/>
                <w:color w:val="auto"/>
                <w:highlight w:val="none"/>
              </w:rPr>
              <w:t>序号</w:t>
            </w:r>
            <w:bookmarkEnd w:id="902"/>
          </w:p>
        </w:tc>
        <w:tc>
          <w:tcPr>
            <w:tcW w:w="1159" w:type="dxa"/>
            <w:vAlign w:val="center"/>
          </w:tcPr>
          <w:p>
            <w:pPr>
              <w:pStyle w:val="52"/>
              <w:rPr>
                <w:b/>
                <w:bCs/>
                <w:color w:val="auto"/>
                <w:highlight w:val="none"/>
              </w:rPr>
            </w:pPr>
            <w:bookmarkStart w:id="903" w:name="_Toc10307"/>
            <w:r>
              <w:rPr>
                <w:rFonts w:hint="eastAsia"/>
                <w:b/>
                <w:bCs/>
                <w:color w:val="auto"/>
                <w:highlight w:val="none"/>
              </w:rPr>
              <w:t>产品名称</w:t>
            </w:r>
            <w:bookmarkEnd w:id="903"/>
          </w:p>
        </w:tc>
        <w:tc>
          <w:tcPr>
            <w:tcW w:w="1014" w:type="dxa"/>
            <w:vAlign w:val="center"/>
          </w:tcPr>
          <w:p>
            <w:pPr>
              <w:pStyle w:val="52"/>
              <w:rPr>
                <w:b/>
                <w:bCs/>
                <w:color w:val="auto"/>
                <w:highlight w:val="none"/>
              </w:rPr>
            </w:pPr>
            <w:r>
              <w:rPr>
                <w:rFonts w:hint="eastAsia"/>
                <w:b/>
                <w:bCs/>
                <w:color w:val="auto"/>
                <w:highlight w:val="none"/>
              </w:rPr>
              <w:t>品牌</w:t>
            </w:r>
          </w:p>
        </w:tc>
        <w:tc>
          <w:tcPr>
            <w:tcW w:w="1014" w:type="dxa"/>
            <w:vAlign w:val="center"/>
          </w:tcPr>
          <w:p>
            <w:pPr>
              <w:pStyle w:val="52"/>
              <w:rPr>
                <w:b/>
                <w:bCs/>
                <w:color w:val="auto"/>
                <w:highlight w:val="none"/>
              </w:rPr>
            </w:pPr>
            <w:bookmarkStart w:id="904" w:name="_Toc3010"/>
            <w:r>
              <w:rPr>
                <w:rFonts w:hint="eastAsia"/>
                <w:b/>
                <w:bCs/>
                <w:color w:val="auto"/>
                <w:highlight w:val="none"/>
              </w:rPr>
              <w:t>规格</w:t>
            </w:r>
            <w:bookmarkEnd w:id="904"/>
          </w:p>
        </w:tc>
        <w:tc>
          <w:tcPr>
            <w:tcW w:w="1014" w:type="dxa"/>
            <w:vAlign w:val="center"/>
          </w:tcPr>
          <w:p>
            <w:pPr>
              <w:pStyle w:val="52"/>
              <w:rPr>
                <w:b/>
                <w:bCs/>
                <w:color w:val="auto"/>
                <w:highlight w:val="none"/>
              </w:rPr>
            </w:pPr>
            <w:r>
              <w:rPr>
                <w:rFonts w:hint="eastAsia"/>
                <w:b/>
                <w:bCs/>
                <w:color w:val="auto"/>
                <w:highlight w:val="none"/>
              </w:rPr>
              <w:t>型号</w:t>
            </w:r>
          </w:p>
        </w:tc>
        <w:tc>
          <w:tcPr>
            <w:tcW w:w="1014" w:type="dxa"/>
            <w:vAlign w:val="center"/>
          </w:tcPr>
          <w:p>
            <w:pPr>
              <w:pStyle w:val="52"/>
              <w:rPr>
                <w:b/>
                <w:bCs/>
                <w:color w:val="auto"/>
                <w:highlight w:val="none"/>
              </w:rPr>
            </w:pPr>
            <w:r>
              <w:rPr>
                <w:rFonts w:hint="eastAsia"/>
                <w:b/>
                <w:bCs/>
                <w:color w:val="auto"/>
                <w:highlight w:val="none"/>
              </w:rPr>
              <w:t>产地</w:t>
            </w:r>
          </w:p>
        </w:tc>
        <w:tc>
          <w:tcPr>
            <w:tcW w:w="1014" w:type="dxa"/>
            <w:vAlign w:val="center"/>
          </w:tcPr>
          <w:p>
            <w:pPr>
              <w:pStyle w:val="52"/>
              <w:rPr>
                <w:b/>
                <w:bCs/>
                <w:color w:val="auto"/>
                <w:highlight w:val="none"/>
              </w:rPr>
            </w:pPr>
            <w:bookmarkStart w:id="905" w:name="_Toc2282"/>
            <w:r>
              <w:rPr>
                <w:rFonts w:hint="eastAsia"/>
                <w:b/>
                <w:bCs/>
                <w:color w:val="auto"/>
                <w:highlight w:val="none"/>
              </w:rPr>
              <w:t>单价</w:t>
            </w:r>
            <w:bookmarkEnd w:id="905"/>
            <w:r>
              <w:rPr>
                <w:rFonts w:hint="eastAsia"/>
                <w:b/>
                <w:bCs/>
                <w:color w:val="auto"/>
                <w:highlight w:val="none"/>
              </w:rPr>
              <w:t>(元)</w:t>
            </w:r>
          </w:p>
        </w:tc>
        <w:tc>
          <w:tcPr>
            <w:tcW w:w="1014" w:type="dxa"/>
            <w:vAlign w:val="center"/>
          </w:tcPr>
          <w:p>
            <w:pPr>
              <w:pStyle w:val="52"/>
              <w:rPr>
                <w:b/>
                <w:bCs/>
                <w:color w:val="auto"/>
                <w:highlight w:val="none"/>
              </w:rPr>
            </w:pPr>
            <w:bookmarkStart w:id="906" w:name="_Toc7156"/>
            <w:r>
              <w:rPr>
                <w:rFonts w:hint="eastAsia"/>
                <w:b/>
                <w:bCs/>
                <w:color w:val="auto"/>
                <w:highlight w:val="none"/>
              </w:rPr>
              <w:t>数量</w:t>
            </w:r>
            <w:bookmarkEnd w:id="906"/>
          </w:p>
        </w:tc>
        <w:tc>
          <w:tcPr>
            <w:tcW w:w="1014" w:type="dxa"/>
            <w:vAlign w:val="center"/>
          </w:tcPr>
          <w:p>
            <w:pPr>
              <w:pStyle w:val="52"/>
              <w:rPr>
                <w:b/>
                <w:bCs/>
                <w:color w:val="auto"/>
                <w:highlight w:val="none"/>
              </w:rPr>
            </w:pPr>
            <w:r>
              <w:rPr>
                <w:rFonts w:hint="eastAsia"/>
                <w:b/>
                <w:bCs/>
                <w:color w:val="auto"/>
                <w:highlight w:val="none"/>
              </w:rPr>
              <w:t>单位</w:t>
            </w:r>
          </w:p>
        </w:tc>
        <w:tc>
          <w:tcPr>
            <w:tcW w:w="1018" w:type="dxa"/>
            <w:vAlign w:val="center"/>
          </w:tcPr>
          <w:p>
            <w:pPr>
              <w:pStyle w:val="52"/>
              <w:rPr>
                <w:b/>
                <w:bCs/>
                <w:color w:val="auto"/>
                <w:highlight w:val="none"/>
              </w:rPr>
            </w:pPr>
            <w:r>
              <w:rPr>
                <w:rFonts w:hint="eastAsia"/>
                <w:b/>
                <w:bCs/>
                <w:color w:val="auto"/>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52"/>
              <w:rPr>
                <w:b/>
                <w:bCs/>
                <w:color w:val="auto"/>
                <w:highlight w:val="none"/>
              </w:rPr>
            </w:pPr>
          </w:p>
        </w:tc>
        <w:tc>
          <w:tcPr>
            <w:tcW w:w="1159"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4" w:type="dxa"/>
            <w:vAlign w:val="center"/>
          </w:tcPr>
          <w:p>
            <w:pPr>
              <w:pStyle w:val="52"/>
              <w:rPr>
                <w:b/>
                <w:bCs/>
                <w:color w:val="auto"/>
                <w:highlight w:val="none"/>
              </w:rPr>
            </w:pPr>
          </w:p>
        </w:tc>
        <w:tc>
          <w:tcPr>
            <w:tcW w:w="1018" w:type="dxa"/>
            <w:vAlign w:val="center"/>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31"/>
              <w:rPr>
                <w:color w:val="auto"/>
                <w:highlight w:val="none"/>
              </w:rPr>
            </w:pPr>
          </w:p>
        </w:tc>
        <w:tc>
          <w:tcPr>
            <w:tcW w:w="1159"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8" w:type="dxa"/>
            <w:vAlign w:val="center"/>
          </w:tcPr>
          <w:p>
            <w:pPr>
              <w:pStyle w:val="3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31"/>
              <w:rPr>
                <w:color w:val="auto"/>
                <w:highlight w:val="none"/>
              </w:rPr>
            </w:pPr>
          </w:p>
        </w:tc>
        <w:tc>
          <w:tcPr>
            <w:tcW w:w="1159"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8" w:type="dxa"/>
            <w:vAlign w:val="center"/>
          </w:tcPr>
          <w:p>
            <w:pPr>
              <w:pStyle w:val="3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tcBorders>
              <w:left w:val="single" w:color="auto" w:sz="4" w:space="0"/>
            </w:tcBorders>
            <w:vAlign w:val="center"/>
          </w:tcPr>
          <w:p>
            <w:pPr>
              <w:pStyle w:val="31"/>
              <w:rPr>
                <w:color w:val="auto"/>
                <w:highlight w:val="none"/>
              </w:rPr>
            </w:pPr>
          </w:p>
        </w:tc>
        <w:tc>
          <w:tcPr>
            <w:tcW w:w="1159"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8" w:type="dxa"/>
            <w:vAlign w:val="center"/>
          </w:tcPr>
          <w:p>
            <w:pPr>
              <w:pStyle w:val="3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31"/>
              <w:rPr>
                <w:color w:val="auto"/>
                <w:highlight w:val="none"/>
              </w:rPr>
            </w:pPr>
          </w:p>
        </w:tc>
        <w:tc>
          <w:tcPr>
            <w:tcW w:w="1159"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8" w:type="dxa"/>
            <w:vAlign w:val="center"/>
          </w:tcPr>
          <w:p>
            <w:pPr>
              <w:pStyle w:val="3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1" w:type="dxa"/>
            <w:vAlign w:val="center"/>
          </w:tcPr>
          <w:p>
            <w:pPr>
              <w:pStyle w:val="31"/>
              <w:rPr>
                <w:color w:val="auto"/>
                <w:highlight w:val="none"/>
              </w:rPr>
            </w:pPr>
          </w:p>
        </w:tc>
        <w:tc>
          <w:tcPr>
            <w:tcW w:w="1159"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4" w:type="dxa"/>
            <w:vAlign w:val="center"/>
          </w:tcPr>
          <w:p>
            <w:pPr>
              <w:pStyle w:val="31"/>
              <w:rPr>
                <w:color w:val="auto"/>
                <w:highlight w:val="none"/>
              </w:rPr>
            </w:pPr>
          </w:p>
        </w:tc>
        <w:tc>
          <w:tcPr>
            <w:tcW w:w="1018" w:type="dxa"/>
            <w:vAlign w:val="center"/>
          </w:tcPr>
          <w:p>
            <w:pPr>
              <w:pStyle w:val="3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10"/>
            <w:vAlign w:val="center"/>
          </w:tcPr>
          <w:p>
            <w:pPr>
              <w:pStyle w:val="49"/>
              <w:rPr>
                <w:color w:val="auto"/>
                <w:highlight w:val="none"/>
              </w:rPr>
            </w:pPr>
            <w:r>
              <w:rPr>
                <w:rFonts w:hint="eastAsia"/>
                <w:color w:val="auto"/>
                <w:highlight w:val="none"/>
              </w:rPr>
              <w:t>分项报价合计金额：</w:t>
            </w:r>
            <w:r>
              <w:rPr>
                <w:rFonts w:hint="eastAsia"/>
                <w:color w:val="auto"/>
                <w:highlight w:val="none"/>
                <w:u w:val="single"/>
              </w:rPr>
              <w:t xml:space="preserve">                   </w:t>
            </w:r>
            <w:r>
              <w:rPr>
                <w:rFonts w:hint="eastAsia"/>
                <w:color w:val="auto"/>
                <w:highlight w:val="none"/>
              </w:rPr>
              <w:t>(大写：</w:t>
            </w:r>
            <w:r>
              <w:rPr>
                <w:rFonts w:hint="eastAsia"/>
                <w:color w:val="auto"/>
                <w:highlight w:val="none"/>
                <w:u w:val="single"/>
              </w:rPr>
              <w:t xml:space="preserve">                   </w:t>
            </w:r>
            <w:r>
              <w:rPr>
                <w:rFonts w:hint="eastAsia"/>
                <w:color w:val="auto"/>
                <w:highlight w:val="none"/>
              </w:rPr>
              <w:t>)</w:t>
            </w:r>
          </w:p>
        </w:tc>
      </w:tr>
    </w:tbl>
    <w:p>
      <w:pPr>
        <w:pStyle w:val="53"/>
        <w:ind w:firstLine="482"/>
        <w:rPr>
          <w:color w:val="auto"/>
          <w:highlight w:val="none"/>
        </w:rPr>
      </w:pPr>
      <w:r>
        <w:rPr>
          <w:rFonts w:hint="eastAsia"/>
          <w:color w:val="auto"/>
          <w:highlight w:val="none"/>
        </w:rPr>
        <w:t>注：①投标人必须按“分项报价明细表”的格式详细报出投标总价的各个组成部分的报价，否则作无效投标处理。</w:t>
      </w:r>
    </w:p>
    <w:p>
      <w:pPr>
        <w:pStyle w:val="53"/>
        <w:ind w:firstLine="482"/>
        <w:rPr>
          <w:color w:val="auto"/>
          <w:highlight w:val="none"/>
        </w:rPr>
      </w:pPr>
      <w:r>
        <w:rPr>
          <w:rFonts w:hint="eastAsia"/>
          <w:color w:val="auto"/>
          <w:highlight w:val="none"/>
        </w:rPr>
        <w:t>②“分项报价明细表”各分项报价合计应当与“开标一览表”报价合计相等。</w:t>
      </w:r>
    </w:p>
    <w:p>
      <w:pPr>
        <w:pStyle w:val="53"/>
        <w:ind w:firstLine="482"/>
        <w:rPr>
          <w:color w:val="auto"/>
          <w:highlight w:val="none"/>
        </w:rPr>
      </w:pPr>
      <w:r>
        <w:rPr>
          <w:rFonts w:hint="eastAsia"/>
          <w:color w:val="auto"/>
          <w:highlight w:val="none"/>
        </w:rPr>
        <w:t>③若国外品牌产品在国内(包含海关特殊监管区域)企业生产或加工，不属于进口产品，投标时供应商应注明实际生产或加工地点。</w:t>
      </w: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31"/>
        <w:rPr>
          <w:color w:val="auto"/>
          <w:highlight w:val="none"/>
        </w:rPr>
      </w:pPr>
    </w:p>
    <w:p>
      <w:pPr>
        <w:pStyle w:val="51"/>
        <w:numPr>
          <w:ilvl w:val="0"/>
          <w:numId w:val="21"/>
        </w:numPr>
        <w:spacing w:before="120" w:after="120"/>
        <w:ind w:firstLine="0"/>
        <w:rPr>
          <w:color w:val="auto"/>
          <w:highlight w:val="none"/>
        </w:rPr>
      </w:pPr>
      <w:bookmarkStart w:id="907" w:name="_Toc307564875"/>
      <w:bookmarkStart w:id="908" w:name="_Toc11461"/>
      <w:bookmarkStart w:id="909" w:name="_Toc327196310"/>
      <w:bookmarkStart w:id="910" w:name="_Toc307501130"/>
      <w:bookmarkStart w:id="911" w:name="_Toc217446087"/>
      <w:bookmarkStart w:id="912" w:name="_Toc319440166"/>
      <w:bookmarkStart w:id="913" w:name="_Toc7835"/>
      <w:bookmarkStart w:id="914" w:name="_Toc21414"/>
      <w:bookmarkStart w:id="915" w:name="_Toc25577"/>
      <w:bookmarkStart w:id="916" w:name="_Toc21006"/>
      <w:bookmarkStart w:id="917" w:name="_Toc327196312"/>
      <w:bookmarkStart w:id="918" w:name="_Toc26124"/>
      <w:bookmarkStart w:id="919" w:name="_Toc319440168"/>
      <w:bookmarkStart w:id="920" w:name="_Toc24507"/>
      <w:r>
        <w:rPr>
          <w:rFonts w:hint="eastAsia"/>
          <w:color w:val="auto"/>
          <w:highlight w:val="none"/>
        </w:rPr>
        <w:t>商务应答表</w:t>
      </w:r>
      <w:bookmarkEnd w:id="907"/>
      <w:bookmarkEnd w:id="908"/>
      <w:bookmarkEnd w:id="909"/>
      <w:bookmarkEnd w:id="910"/>
      <w:bookmarkEnd w:id="911"/>
      <w:bookmarkEnd w:id="912"/>
      <w:bookmarkEnd w:id="913"/>
      <w:bookmarkEnd w:id="914"/>
      <w:bookmarkEnd w:id="915"/>
      <w:bookmarkEnd w:id="916"/>
    </w:p>
    <w:p>
      <w:pPr>
        <w:pStyle w:val="31"/>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31"/>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23"/>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2"/>
              <w:rPr>
                <w:b/>
                <w:bCs/>
                <w:color w:val="auto"/>
                <w:highlight w:val="none"/>
              </w:rPr>
            </w:pPr>
            <w:r>
              <w:rPr>
                <w:rFonts w:hint="eastAsia"/>
                <w:b/>
                <w:bCs/>
                <w:color w:val="auto"/>
                <w:highlight w:val="none"/>
              </w:rPr>
              <w:t>序号</w:t>
            </w:r>
          </w:p>
        </w:tc>
        <w:tc>
          <w:tcPr>
            <w:tcW w:w="4061" w:type="dxa"/>
            <w:vAlign w:val="center"/>
          </w:tcPr>
          <w:p>
            <w:pPr>
              <w:pStyle w:val="52"/>
              <w:rPr>
                <w:b/>
                <w:bCs/>
                <w:color w:val="auto"/>
                <w:highlight w:val="none"/>
              </w:rPr>
            </w:pPr>
            <w:r>
              <w:rPr>
                <w:rFonts w:hint="eastAsia"/>
                <w:b/>
                <w:bCs/>
                <w:color w:val="auto"/>
                <w:highlight w:val="none"/>
              </w:rPr>
              <w:t>招标文件商务要求</w:t>
            </w:r>
          </w:p>
        </w:tc>
        <w:tc>
          <w:tcPr>
            <w:tcW w:w="3900" w:type="dxa"/>
            <w:vAlign w:val="center"/>
          </w:tcPr>
          <w:p>
            <w:pPr>
              <w:pStyle w:val="52"/>
              <w:rPr>
                <w:b/>
                <w:bCs/>
                <w:color w:val="auto"/>
                <w:highlight w:val="none"/>
              </w:rPr>
            </w:pPr>
            <w:r>
              <w:rPr>
                <w:rFonts w:hint="eastAsia"/>
                <w:b/>
                <w:bCs/>
                <w:color w:val="auto"/>
                <w:highlight w:val="none"/>
              </w:rPr>
              <w:t>投标应答</w:t>
            </w:r>
          </w:p>
        </w:tc>
        <w:tc>
          <w:tcPr>
            <w:tcW w:w="1223" w:type="dxa"/>
            <w:vAlign w:val="center"/>
          </w:tcPr>
          <w:p>
            <w:pPr>
              <w:pStyle w:val="52"/>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2"/>
              <w:rPr>
                <w:b/>
                <w:bCs/>
                <w:color w:val="auto"/>
                <w:highlight w:val="none"/>
              </w:rPr>
            </w:pPr>
          </w:p>
        </w:tc>
        <w:tc>
          <w:tcPr>
            <w:tcW w:w="4061" w:type="dxa"/>
          </w:tcPr>
          <w:p>
            <w:pPr>
              <w:pStyle w:val="52"/>
              <w:rPr>
                <w:b/>
                <w:bCs/>
                <w:color w:val="auto"/>
                <w:highlight w:val="none"/>
              </w:rPr>
            </w:pPr>
          </w:p>
        </w:tc>
        <w:tc>
          <w:tcPr>
            <w:tcW w:w="3900" w:type="dxa"/>
          </w:tcPr>
          <w:p>
            <w:pPr>
              <w:pStyle w:val="52"/>
              <w:rPr>
                <w:b/>
                <w:bCs/>
                <w:color w:val="auto"/>
                <w:highlight w:val="none"/>
              </w:rPr>
            </w:pPr>
          </w:p>
        </w:tc>
        <w:tc>
          <w:tcPr>
            <w:tcW w:w="1223" w:type="dxa"/>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2"/>
              <w:rPr>
                <w:b/>
                <w:bCs/>
                <w:color w:val="auto"/>
                <w:highlight w:val="none"/>
              </w:rPr>
            </w:pPr>
          </w:p>
        </w:tc>
        <w:tc>
          <w:tcPr>
            <w:tcW w:w="4061" w:type="dxa"/>
          </w:tcPr>
          <w:p>
            <w:pPr>
              <w:pStyle w:val="52"/>
              <w:rPr>
                <w:b/>
                <w:bCs/>
                <w:color w:val="auto"/>
                <w:highlight w:val="none"/>
              </w:rPr>
            </w:pPr>
          </w:p>
        </w:tc>
        <w:tc>
          <w:tcPr>
            <w:tcW w:w="3900" w:type="dxa"/>
          </w:tcPr>
          <w:p>
            <w:pPr>
              <w:pStyle w:val="52"/>
              <w:rPr>
                <w:b/>
                <w:bCs/>
                <w:color w:val="auto"/>
                <w:highlight w:val="none"/>
              </w:rPr>
            </w:pPr>
          </w:p>
        </w:tc>
        <w:tc>
          <w:tcPr>
            <w:tcW w:w="1223" w:type="dxa"/>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2"/>
              <w:rPr>
                <w:b/>
                <w:bCs/>
                <w:color w:val="auto"/>
                <w:highlight w:val="none"/>
              </w:rPr>
            </w:pPr>
          </w:p>
        </w:tc>
        <w:tc>
          <w:tcPr>
            <w:tcW w:w="4061" w:type="dxa"/>
          </w:tcPr>
          <w:p>
            <w:pPr>
              <w:pStyle w:val="52"/>
              <w:rPr>
                <w:b/>
                <w:bCs/>
                <w:color w:val="auto"/>
                <w:highlight w:val="none"/>
              </w:rPr>
            </w:pPr>
          </w:p>
        </w:tc>
        <w:tc>
          <w:tcPr>
            <w:tcW w:w="3900" w:type="dxa"/>
          </w:tcPr>
          <w:p>
            <w:pPr>
              <w:pStyle w:val="52"/>
              <w:rPr>
                <w:b/>
                <w:bCs/>
                <w:color w:val="auto"/>
                <w:highlight w:val="none"/>
              </w:rPr>
            </w:pPr>
          </w:p>
        </w:tc>
        <w:tc>
          <w:tcPr>
            <w:tcW w:w="1223" w:type="dxa"/>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2"/>
              <w:rPr>
                <w:b/>
                <w:bCs/>
                <w:color w:val="auto"/>
                <w:highlight w:val="none"/>
              </w:rPr>
            </w:pPr>
          </w:p>
        </w:tc>
        <w:tc>
          <w:tcPr>
            <w:tcW w:w="4061" w:type="dxa"/>
          </w:tcPr>
          <w:p>
            <w:pPr>
              <w:pStyle w:val="52"/>
              <w:rPr>
                <w:b/>
                <w:bCs/>
                <w:color w:val="auto"/>
                <w:highlight w:val="none"/>
              </w:rPr>
            </w:pPr>
          </w:p>
        </w:tc>
        <w:tc>
          <w:tcPr>
            <w:tcW w:w="3900" w:type="dxa"/>
          </w:tcPr>
          <w:p>
            <w:pPr>
              <w:pStyle w:val="52"/>
              <w:rPr>
                <w:b/>
                <w:bCs/>
                <w:color w:val="auto"/>
                <w:highlight w:val="none"/>
              </w:rPr>
            </w:pPr>
          </w:p>
        </w:tc>
        <w:tc>
          <w:tcPr>
            <w:tcW w:w="1223" w:type="dxa"/>
          </w:tcPr>
          <w:p>
            <w:pPr>
              <w:pStyle w:val="52"/>
              <w:rPr>
                <w:b/>
                <w:bCs/>
                <w:color w:val="auto"/>
                <w:highlight w:val="none"/>
              </w:rPr>
            </w:pPr>
          </w:p>
        </w:tc>
      </w:tr>
    </w:tbl>
    <w:p>
      <w:pPr>
        <w:pStyle w:val="53"/>
        <w:ind w:firstLine="482"/>
        <w:rPr>
          <w:color w:val="auto"/>
          <w:highlight w:val="none"/>
        </w:rPr>
      </w:pPr>
      <w:r>
        <w:rPr>
          <w:rFonts w:hint="eastAsia"/>
          <w:color w:val="auto"/>
          <w:highlight w:val="none"/>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商务要求中要求提供的承诺函应单独响应。</w:t>
      </w: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31"/>
        <w:rPr>
          <w:color w:val="auto"/>
          <w:highlight w:val="none"/>
        </w:rPr>
      </w:pPr>
      <w:r>
        <w:rPr>
          <w:rFonts w:hint="eastAsia"/>
          <w:color w:val="auto"/>
          <w:highlight w:val="none"/>
        </w:rPr>
        <w:br w:type="page"/>
      </w:r>
    </w:p>
    <w:bookmarkEnd w:id="917"/>
    <w:bookmarkEnd w:id="918"/>
    <w:bookmarkEnd w:id="919"/>
    <w:p>
      <w:pPr>
        <w:pStyle w:val="51"/>
        <w:numPr>
          <w:ilvl w:val="0"/>
          <w:numId w:val="21"/>
        </w:numPr>
        <w:spacing w:before="120" w:after="120"/>
        <w:ind w:firstLine="0"/>
        <w:rPr>
          <w:color w:val="auto"/>
          <w:highlight w:val="none"/>
        </w:rPr>
      </w:pPr>
      <w:bookmarkStart w:id="921" w:name="_Toc28238"/>
      <w:bookmarkStart w:id="922" w:name="_Toc26522"/>
      <w:bookmarkStart w:id="923" w:name="_Toc23430"/>
      <w:r>
        <w:rPr>
          <w:rFonts w:hint="eastAsia"/>
          <w:color w:val="auto"/>
          <w:highlight w:val="none"/>
        </w:rPr>
        <w:t>投标产品技术参数应答表</w:t>
      </w:r>
      <w:bookmarkEnd w:id="921"/>
    </w:p>
    <w:p>
      <w:pPr>
        <w:pStyle w:val="31"/>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31"/>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52"/>
              <w:rPr>
                <w:b/>
                <w:bCs/>
                <w:color w:val="auto"/>
                <w:highlight w:val="none"/>
              </w:rPr>
            </w:pPr>
            <w:r>
              <w:rPr>
                <w:rFonts w:hint="eastAsia"/>
                <w:b/>
                <w:bCs/>
                <w:color w:val="auto"/>
                <w:highlight w:val="none"/>
              </w:rPr>
              <w:t>序号</w:t>
            </w:r>
          </w:p>
        </w:tc>
        <w:tc>
          <w:tcPr>
            <w:tcW w:w="2176" w:type="dxa"/>
            <w:vAlign w:val="center"/>
          </w:tcPr>
          <w:p>
            <w:pPr>
              <w:pStyle w:val="52"/>
              <w:rPr>
                <w:b/>
                <w:bCs/>
                <w:color w:val="auto"/>
                <w:highlight w:val="none"/>
              </w:rPr>
            </w:pPr>
            <w:r>
              <w:rPr>
                <w:rFonts w:hint="eastAsia"/>
                <w:b/>
                <w:bCs/>
                <w:color w:val="auto"/>
                <w:highlight w:val="none"/>
              </w:rPr>
              <w:t>货物名称</w:t>
            </w:r>
          </w:p>
        </w:tc>
        <w:tc>
          <w:tcPr>
            <w:tcW w:w="2681" w:type="dxa"/>
            <w:vAlign w:val="center"/>
          </w:tcPr>
          <w:p>
            <w:pPr>
              <w:pStyle w:val="52"/>
              <w:rPr>
                <w:b/>
                <w:bCs/>
                <w:color w:val="auto"/>
                <w:highlight w:val="none"/>
              </w:rPr>
            </w:pPr>
            <w:r>
              <w:rPr>
                <w:rFonts w:hint="eastAsia"/>
                <w:b/>
                <w:bCs/>
                <w:color w:val="auto"/>
                <w:highlight w:val="none"/>
              </w:rPr>
              <w:t>招标文件技术参数及功能要求</w:t>
            </w:r>
          </w:p>
        </w:tc>
        <w:tc>
          <w:tcPr>
            <w:tcW w:w="2745" w:type="dxa"/>
            <w:vAlign w:val="center"/>
          </w:tcPr>
          <w:p>
            <w:pPr>
              <w:pStyle w:val="52"/>
              <w:rPr>
                <w:b/>
                <w:bCs/>
                <w:color w:val="auto"/>
                <w:highlight w:val="none"/>
              </w:rPr>
            </w:pPr>
            <w:r>
              <w:rPr>
                <w:rFonts w:hint="eastAsia"/>
                <w:b/>
                <w:bCs/>
                <w:color w:val="auto"/>
                <w:highlight w:val="none"/>
              </w:rPr>
              <w:t>投标产品</w:t>
            </w:r>
            <w:r>
              <w:rPr>
                <w:rFonts w:hint="eastAsia" w:cs="宋体"/>
                <w:b/>
                <w:bCs/>
                <w:color w:val="auto"/>
                <w:kern w:val="0"/>
                <w:szCs w:val="21"/>
                <w:highlight w:val="none"/>
                <w:lang w:bidi="ar"/>
              </w:rPr>
              <w:t>技术规格</w:t>
            </w:r>
          </w:p>
        </w:tc>
        <w:tc>
          <w:tcPr>
            <w:tcW w:w="1493" w:type="dxa"/>
            <w:vAlign w:val="center"/>
          </w:tcPr>
          <w:p>
            <w:pPr>
              <w:pStyle w:val="52"/>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2"/>
              <w:rPr>
                <w:b/>
                <w:bCs/>
                <w:color w:val="auto"/>
                <w:highlight w:val="none"/>
              </w:rPr>
            </w:pPr>
          </w:p>
        </w:tc>
        <w:tc>
          <w:tcPr>
            <w:tcW w:w="2176" w:type="dxa"/>
          </w:tcPr>
          <w:p>
            <w:pPr>
              <w:pStyle w:val="52"/>
              <w:rPr>
                <w:b/>
                <w:bCs/>
                <w:color w:val="auto"/>
                <w:highlight w:val="none"/>
              </w:rPr>
            </w:pPr>
          </w:p>
        </w:tc>
        <w:tc>
          <w:tcPr>
            <w:tcW w:w="2681" w:type="dxa"/>
          </w:tcPr>
          <w:p>
            <w:pPr>
              <w:pStyle w:val="52"/>
              <w:rPr>
                <w:b/>
                <w:bCs/>
                <w:color w:val="auto"/>
                <w:highlight w:val="none"/>
              </w:rPr>
            </w:pPr>
          </w:p>
        </w:tc>
        <w:tc>
          <w:tcPr>
            <w:tcW w:w="2745" w:type="dxa"/>
          </w:tcPr>
          <w:p>
            <w:pPr>
              <w:pStyle w:val="52"/>
              <w:rPr>
                <w:b/>
                <w:bCs/>
                <w:color w:val="auto"/>
                <w:highlight w:val="none"/>
              </w:rPr>
            </w:pPr>
          </w:p>
        </w:tc>
        <w:tc>
          <w:tcPr>
            <w:tcW w:w="1493" w:type="dxa"/>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2"/>
              <w:rPr>
                <w:b/>
                <w:bCs/>
                <w:color w:val="auto"/>
                <w:highlight w:val="none"/>
              </w:rPr>
            </w:pPr>
          </w:p>
        </w:tc>
        <w:tc>
          <w:tcPr>
            <w:tcW w:w="2176" w:type="dxa"/>
          </w:tcPr>
          <w:p>
            <w:pPr>
              <w:pStyle w:val="52"/>
              <w:rPr>
                <w:b/>
                <w:bCs/>
                <w:color w:val="auto"/>
                <w:highlight w:val="none"/>
              </w:rPr>
            </w:pPr>
          </w:p>
        </w:tc>
        <w:tc>
          <w:tcPr>
            <w:tcW w:w="2681" w:type="dxa"/>
          </w:tcPr>
          <w:p>
            <w:pPr>
              <w:pStyle w:val="52"/>
              <w:rPr>
                <w:b/>
                <w:bCs/>
                <w:color w:val="auto"/>
                <w:highlight w:val="none"/>
              </w:rPr>
            </w:pPr>
          </w:p>
        </w:tc>
        <w:tc>
          <w:tcPr>
            <w:tcW w:w="2745" w:type="dxa"/>
          </w:tcPr>
          <w:p>
            <w:pPr>
              <w:pStyle w:val="52"/>
              <w:rPr>
                <w:b/>
                <w:bCs/>
                <w:color w:val="auto"/>
                <w:highlight w:val="none"/>
              </w:rPr>
            </w:pPr>
          </w:p>
        </w:tc>
        <w:tc>
          <w:tcPr>
            <w:tcW w:w="1493" w:type="dxa"/>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2"/>
              <w:rPr>
                <w:b/>
                <w:bCs/>
                <w:color w:val="auto"/>
                <w:highlight w:val="none"/>
              </w:rPr>
            </w:pPr>
          </w:p>
        </w:tc>
        <w:tc>
          <w:tcPr>
            <w:tcW w:w="2176" w:type="dxa"/>
          </w:tcPr>
          <w:p>
            <w:pPr>
              <w:pStyle w:val="52"/>
              <w:rPr>
                <w:b/>
                <w:bCs/>
                <w:color w:val="auto"/>
                <w:highlight w:val="none"/>
              </w:rPr>
            </w:pPr>
          </w:p>
        </w:tc>
        <w:tc>
          <w:tcPr>
            <w:tcW w:w="2681" w:type="dxa"/>
          </w:tcPr>
          <w:p>
            <w:pPr>
              <w:pStyle w:val="52"/>
              <w:rPr>
                <w:b/>
                <w:bCs/>
                <w:color w:val="auto"/>
                <w:highlight w:val="none"/>
              </w:rPr>
            </w:pPr>
          </w:p>
        </w:tc>
        <w:tc>
          <w:tcPr>
            <w:tcW w:w="2745" w:type="dxa"/>
          </w:tcPr>
          <w:p>
            <w:pPr>
              <w:pStyle w:val="52"/>
              <w:rPr>
                <w:b/>
                <w:bCs/>
                <w:color w:val="auto"/>
                <w:highlight w:val="none"/>
              </w:rPr>
            </w:pPr>
          </w:p>
        </w:tc>
        <w:tc>
          <w:tcPr>
            <w:tcW w:w="1493" w:type="dxa"/>
          </w:tcPr>
          <w:p>
            <w:pPr>
              <w:pStyle w:val="52"/>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52"/>
              <w:rPr>
                <w:b/>
                <w:bCs/>
                <w:color w:val="auto"/>
                <w:highlight w:val="none"/>
              </w:rPr>
            </w:pPr>
          </w:p>
        </w:tc>
        <w:tc>
          <w:tcPr>
            <w:tcW w:w="2176" w:type="dxa"/>
          </w:tcPr>
          <w:p>
            <w:pPr>
              <w:pStyle w:val="52"/>
              <w:rPr>
                <w:b/>
                <w:bCs/>
                <w:color w:val="auto"/>
                <w:highlight w:val="none"/>
              </w:rPr>
            </w:pPr>
          </w:p>
        </w:tc>
        <w:tc>
          <w:tcPr>
            <w:tcW w:w="2681" w:type="dxa"/>
          </w:tcPr>
          <w:p>
            <w:pPr>
              <w:pStyle w:val="52"/>
              <w:rPr>
                <w:b/>
                <w:bCs/>
                <w:color w:val="auto"/>
                <w:highlight w:val="none"/>
              </w:rPr>
            </w:pPr>
          </w:p>
        </w:tc>
        <w:tc>
          <w:tcPr>
            <w:tcW w:w="2745" w:type="dxa"/>
          </w:tcPr>
          <w:p>
            <w:pPr>
              <w:pStyle w:val="52"/>
              <w:rPr>
                <w:b/>
                <w:bCs/>
                <w:color w:val="auto"/>
                <w:highlight w:val="none"/>
              </w:rPr>
            </w:pPr>
          </w:p>
        </w:tc>
        <w:tc>
          <w:tcPr>
            <w:tcW w:w="1493" w:type="dxa"/>
          </w:tcPr>
          <w:p>
            <w:pPr>
              <w:pStyle w:val="52"/>
              <w:rPr>
                <w:b/>
                <w:bCs/>
                <w:color w:val="auto"/>
                <w:highlight w:val="none"/>
              </w:rPr>
            </w:pPr>
          </w:p>
        </w:tc>
      </w:tr>
    </w:tbl>
    <w:p>
      <w:pPr>
        <w:pStyle w:val="53"/>
        <w:ind w:firstLine="482"/>
        <w:rPr>
          <w:color w:val="auto"/>
          <w:highlight w:val="none"/>
        </w:rPr>
      </w:pPr>
      <w:r>
        <w:rPr>
          <w:rFonts w:hint="eastAsia"/>
          <w:color w:val="auto"/>
          <w:highlight w:val="none"/>
        </w:rPr>
        <w:t>注：如与招标文件第六章</w:t>
      </w:r>
      <w:r>
        <w:rPr>
          <w:rFonts w:hint="eastAsia"/>
          <w:bCs/>
          <w:color w:val="auto"/>
          <w:highlight w:val="none"/>
        </w:rPr>
        <w:t>技术参数及功能要求</w:t>
      </w:r>
      <w:r>
        <w:rPr>
          <w:rFonts w:hint="eastAsia"/>
          <w:color w:val="auto"/>
          <w:highlight w:val="none"/>
        </w:rPr>
        <w:t>的内容有偏离(包括正偏离和负偏离)，请将偏离条款逐条应答。如与招标文件第六章</w:t>
      </w:r>
      <w:r>
        <w:rPr>
          <w:rFonts w:hint="eastAsia"/>
          <w:bCs/>
          <w:color w:val="auto"/>
          <w:highlight w:val="none"/>
        </w:rPr>
        <w:t>技术参数及功能要求</w:t>
      </w:r>
      <w:r>
        <w:rPr>
          <w:rFonts w:hint="eastAsia"/>
          <w:color w:val="auto"/>
          <w:highlight w:val="none"/>
        </w:rPr>
        <w:t>的所有条款无偏离，则无须在此表中应答，视为默认完全响应和接受招标文件第六章</w:t>
      </w:r>
      <w:r>
        <w:rPr>
          <w:rFonts w:hint="eastAsia"/>
          <w:bCs/>
          <w:color w:val="auto"/>
          <w:highlight w:val="none"/>
        </w:rPr>
        <w:t>技术参数及功能要求</w:t>
      </w:r>
      <w:r>
        <w:rPr>
          <w:rFonts w:hint="eastAsia"/>
          <w:color w:val="auto"/>
          <w:highlight w:val="none"/>
        </w:rPr>
        <w:t>所有的内容，供应商不得以未作应答而拒不接受。供应商必须据实填写，不得虚假应答，否则将取消其中标资格。</w:t>
      </w:r>
    </w:p>
    <w:p>
      <w:pPr>
        <w:pStyle w:val="31"/>
        <w:rPr>
          <w:color w:val="auto"/>
          <w:highlight w:val="none"/>
        </w:rPr>
      </w:pP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31"/>
        <w:rPr>
          <w:color w:val="auto"/>
          <w:highlight w:val="none"/>
        </w:rPr>
      </w:pPr>
      <w:r>
        <w:rPr>
          <w:rFonts w:hint="eastAsia"/>
          <w:color w:val="auto"/>
          <w:highlight w:val="none"/>
        </w:rPr>
        <w:br w:type="page"/>
      </w:r>
    </w:p>
    <w:bookmarkEnd w:id="922"/>
    <w:bookmarkEnd w:id="923"/>
    <w:p>
      <w:pPr>
        <w:pStyle w:val="51"/>
        <w:numPr>
          <w:ilvl w:val="0"/>
          <w:numId w:val="21"/>
        </w:numPr>
        <w:spacing w:before="120" w:after="120"/>
        <w:ind w:firstLine="0"/>
        <w:rPr>
          <w:color w:val="auto"/>
          <w:highlight w:val="none"/>
        </w:rPr>
      </w:pPr>
      <w:bookmarkStart w:id="924" w:name="_Toc24874"/>
      <w:bookmarkStart w:id="925" w:name="_Toc28539"/>
      <w:r>
        <w:rPr>
          <w:rFonts w:hint="eastAsia"/>
          <w:color w:val="auto"/>
          <w:highlight w:val="none"/>
        </w:rPr>
        <w:t>履约能力及相关证明</w:t>
      </w:r>
      <w:bookmarkEnd w:id="924"/>
      <w:bookmarkEnd w:id="925"/>
    </w:p>
    <w:p>
      <w:pPr>
        <w:pStyle w:val="53"/>
        <w:ind w:firstLine="482"/>
        <w:rPr>
          <w:color w:val="auto"/>
          <w:highlight w:val="none"/>
        </w:rPr>
      </w:pPr>
      <w:r>
        <w:rPr>
          <w:rFonts w:hint="eastAsia"/>
          <w:color w:val="auto"/>
          <w:highlight w:val="none"/>
        </w:rPr>
        <w:t>注：格式自拟。</w:t>
      </w: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p>
    <w:p>
      <w:pPr>
        <w:pStyle w:val="31"/>
        <w:rPr>
          <w:color w:val="auto"/>
          <w:highlight w:val="none"/>
        </w:rPr>
      </w:pPr>
      <w:r>
        <w:rPr>
          <w:rFonts w:hint="eastAsia"/>
          <w:color w:val="auto"/>
          <w:highlight w:val="none"/>
        </w:rPr>
        <w:br w:type="page"/>
      </w:r>
    </w:p>
    <w:bookmarkEnd w:id="920"/>
    <w:p>
      <w:pPr>
        <w:pStyle w:val="51"/>
        <w:numPr>
          <w:ilvl w:val="0"/>
          <w:numId w:val="21"/>
        </w:numPr>
        <w:spacing w:before="120" w:after="120"/>
        <w:ind w:firstLine="0"/>
        <w:rPr>
          <w:color w:val="auto"/>
          <w:highlight w:val="none"/>
        </w:rPr>
      </w:pPr>
      <w:bookmarkStart w:id="926" w:name="_Toc13361"/>
      <w:bookmarkStart w:id="927" w:name="_Toc18184"/>
      <w:bookmarkStart w:id="928" w:name="_Toc19240"/>
      <w:r>
        <w:rPr>
          <w:rFonts w:hint="eastAsia"/>
          <w:color w:val="auto"/>
          <w:highlight w:val="none"/>
        </w:rPr>
        <w:t>投标人针对本项目人员配置情况表</w:t>
      </w:r>
      <w:bookmarkEnd w:id="926"/>
      <w:bookmarkEnd w:id="927"/>
    </w:p>
    <w:p>
      <w:pPr>
        <w:pStyle w:val="31"/>
        <w:rPr>
          <w:color w:val="auto"/>
          <w:highlight w:val="none"/>
        </w:rPr>
      </w:pPr>
      <w:r>
        <w:rPr>
          <w:rFonts w:hint="eastAsia"/>
          <w:color w:val="auto"/>
          <w:highlight w:val="none"/>
        </w:rPr>
        <w:t>项目名称：</w:t>
      </w:r>
      <w:r>
        <w:rPr>
          <w:rFonts w:hint="eastAsia"/>
          <w:color w:val="auto"/>
          <w:highlight w:val="none"/>
          <w:u w:val="single"/>
        </w:rPr>
        <w:t xml:space="preserve">                              </w:t>
      </w:r>
    </w:p>
    <w:p>
      <w:pPr>
        <w:pStyle w:val="31"/>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2"/>
              <w:rPr>
                <w:b/>
                <w:bCs/>
                <w:color w:val="auto"/>
                <w:highlight w:val="none"/>
              </w:rPr>
            </w:pPr>
            <w:r>
              <w:rPr>
                <w:rFonts w:hint="eastAsia"/>
                <w:b/>
                <w:bCs/>
                <w:color w:val="auto"/>
                <w:highlight w:val="none"/>
              </w:rPr>
              <w:t>类别</w:t>
            </w:r>
          </w:p>
        </w:tc>
        <w:tc>
          <w:tcPr>
            <w:tcW w:w="923" w:type="dxa"/>
            <w:vMerge w:val="restart"/>
            <w:vAlign w:val="center"/>
          </w:tcPr>
          <w:p>
            <w:pPr>
              <w:pStyle w:val="52"/>
              <w:rPr>
                <w:b/>
                <w:bCs/>
                <w:color w:val="auto"/>
                <w:highlight w:val="none"/>
              </w:rPr>
            </w:pPr>
            <w:r>
              <w:rPr>
                <w:rFonts w:hint="eastAsia"/>
                <w:b/>
                <w:bCs/>
                <w:color w:val="auto"/>
                <w:highlight w:val="none"/>
              </w:rPr>
              <w:t>职务(岗位)</w:t>
            </w:r>
          </w:p>
        </w:tc>
        <w:tc>
          <w:tcPr>
            <w:tcW w:w="921" w:type="dxa"/>
            <w:vMerge w:val="restart"/>
            <w:vAlign w:val="center"/>
          </w:tcPr>
          <w:p>
            <w:pPr>
              <w:pStyle w:val="52"/>
              <w:rPr>
                <w:b/>
                <w:bCs/>
                <w:color w:val="auto"/>
                <w:highlight w:val="none"/>
              </w:rPr>
            </w:pPr>
            <w:r>
              <w:rPr>
                <w:rFonts w:hint="eastAsia"/>
                <w:b/>
                <w:bCs/>
                <w:color w:val="auto"/>
                <w:highlight w:val="none"/>
              </w:rPr>
              <w:t>姓名</w:t>
            </w:r>
          </w:p>
        </w:tc>
        <w:tc>
          <w:tcPr>
            <w:tcW w:w="923" w:type="dxa"/>
            <w:vMerge w:val="restart"/>
            <w:vAlign w:val="center"/>
          </w:tcPr>
          <w:p>
            <w:pPr>
              <w:pStyle w:val="52"/>
              <w:rPr>
                <w:b/>
                <w:bCs/>
                <w:color w:val="auto"/>
                <w:highlight w:val="none"/>
              </w:rPr>
            </w:pPr>
            <w:r>
              <w:rPr>
                <w:rFonts w:hint="eastAsia"/>
                <w:b/>
                <w:bCs/>
                <w:color w:val="auto"/>
                <w:highlight w:val="none"/>
              </w:rPr>
              <w:t>职称</w:t>
            </w:r>
          </w:p>
        </w:tc>
        <w:tc>
          <w:tcPr>
            <w:tcW w:w="922" w:type="dxa"/>
            <w:vMerge w:val="restart"/>
            <w:vAlign w:val="center"/>
          </w:tcPr>
          <w:p>
            <w:pPr>
              <w:pStyle w:val="52"/>
              <w:rPr>
                <w:b/>
                <w:bCs/>
                <w:color w:val="auto"/>
                <w:highlight w:val="none"/>
              </w:rPr>
            </w:pPr>
            <w:r>
              <w:rPr>
                <w:rFonts w:hint="eastAsia"/>
                <w:b/>
                <w:bCs/>
                <w:color w:val="auto"/>
                <w:highlight w:val="none"/>
              </w:rPr>
              <w:t>常住地</w:t>
            </w:r>
          </w:p>
        </w:tc>
        <w:tc>
          <w:tcPr>
            <w:tcW w:w="4919" w:type="dxa"/>
            <w:gridSpan w:val="4"/>
            <w:vAlign w:val="center"/>
          </w:tcPr>
          <w:p>
            <w:pPr>
              <w:pStyle w:val="52"/>
              <w:rPr>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2"/>
              <w:rPr>
                <w:b/>
                <w:bCs/>
                <w:color w:val="auto"/>
                <w:highlight w:val="none"/>
              </w:rPr>
            </w:pPr>
          </w:p>
        </w:tc>
        <w:tc>
          <w:tcPr>
            <w:tcW w:w="923" w:type="dxa"/>
            <w:vMerge w:val="continue"/>
            <w:vAlign w:val="center"/>
          </w:tcPr>
          <w:p>
            <w:pPr>
              <w:pStyle w:val="52"/>
              <w:rPr>
                <w:b/>
                <w:bCs/>
                <w:color w:val="auto"/>
                <w:highlight w:val="none"/>
              </w:rPr>
            </w:pPr>
          </w:p>
        </w:tc>
        <w:tc>
          <w:tcPr>
            <w:tcW w:w="921" w:type="dxa"/>
            <w:vMerge w:val="continue"/>
            <w:vAlign w:val="center"/>
          </w:tcPr>
          <w:p>
            <w:pPr>
              <w:pStyle w:val="52"/>
              <w:rPr>
                <w:b/>
                <w:bCs/>
                <w:color w:val="auto"/>
                <w:highlight w:val="none"/>
              </w:rPr>
            </w:pPr>
          </w:p>
        </w:tc>
        <w:tc>
          <w:tcPr>
            <w:tcW w:w="923" w:type="dxa"/>
            <w:vMerge w:val="continue"/>
            <w:vAlign w:val="center"/>
          </w:tcPr>
          <w:p>
            <w:pPr>
              <w:pStyle w:val="52"/>
              <w:rPr>
                <w:b/>
                <w:bCs/>
                <w:color w:val="auto"/>
                <w:highlight w:val="none"/>
              </w:rPr>
            </w:pPr>
          </w:p>
        </w:tc>
        <w:tc>
          <w:tcPr>
            <w:tcW w:w="922" w:type="dxa"/>
            <w:vMerge w:val="continue"/>
            <w:vAlign w:val="center"/>
          </w:tcPr>
          <w:p>
            <w:pPr>
              <w:pStyle w:val="52"/>
              <w:rPr>
                <w:b/>
                <w:bCs/>
                <w:color w:val="auto"/>
                <w:highlight w:val="none"/>
              </w:rPr>
            </w:pPr>
          </w:p>
        </w:tc>
        <w:tc>
          <w:tcPr>
            <w:tcW w:w="1436" w:type="dxa"/>
            <w:vAlign w:val="center"/>
          </w:tcPr>
          <w:p>
            <w:pPr>
              <w:pStyle w:val="52"/>
              <w:rPr>
                <w:b/>
                <w:bCs/>
                <w:color w:val="auto"/>
                <w:highlight w:val="none"/>
              </w:rPr>
            </w:pPr>
            <w:r>
              <w:rPr>
                <w:rFonts w:hint="eastAsia"/>
                <w:b/>
                <w:bCs/>
                <w:color w:val="auto"/>
                <w:highlight w:val="none"/>
              </w:rPr>
              <w:t>证书名称</w:t>
            </w:r>
          </w:p>
        </w:tc>
        <w:tc>
          <w:tcPr>
            <w:tcW w:w="1022" w:type="dxa"/>
            <w:vAlign w:val="center"/>
          </w:tcPr>
          <w:p>
            <w:pPr>
              <w:pStyle w:val="52"/>
              <w:rPr>
                <w:b/>
                <w:bCs/>
                <w:color w:val="auto"/>
                <w:highlight w:val="none"/>
              </w:rPr>
            </w:pPr>
            <w:r>
              <w:rPr>
                <w:rFonts w:hint="eastAsia"/>
                <w:b/>
                <w:bCs/>
                <w:color w:val="auto"/>
                <w:highlight w:val="none"/>
              </w:rPr>
              <w:t>级别</w:t>
            </w:r>
          </w:p>
        </w:tc>
        <w:tc>
          <w:tcPr>
            <w:tcW w:w="1232" w:type="dxa"/>
            <w:vAlign w:val="center"/>
          </w:tcPr>
          <w:p>
            <w:pPr>
              <w:pStyle w:val="52"/>
              <w:rPr>
                <w:b/>
                <w:bCs/>
                <w:color w:val="auto"/>
                <w:highlight w:val="none"/>
              </w:rPr>
            </w:pPr>
            <w:r>
              <w:rPr>
                <w:rFonts w:hint="eastAsia"/>
                <w:b/>
                <w:bCs/>
                <w:color w:val="auto"/>
                <w:highlight w:val="none"/>
              </w:rPr>
              <w:t>证号</w:t>
            </w:r>
          </w:p>
        </w:tc>
        <w:tc>
          <w:tcPr>
            <w:tcW w:w="1229" w:type="dxa"/>
            <w:vAlign w:val="center"/>
          </w:tcPr>
          <w:p>
            <w:pPr>
              <w:pStyle w:val="52"/>
              <w:rPr>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2"/>
              <w:rPr>
                <w:color w:val="auto"/>
                <w:highlight w:val="none"/>
              </w:rPr>
            </w:pPr>
          </w:p>
        </w:tc>
        <w:tc>
          <w:tcPr>
            <w:tcW w:w="923" w:type="dxa"/>
          </w:tcPr>
          <w:p>
            <w:pPr>
              <w:pStyle w:val="52"/>
              <w:rPr>
                <w:color w:val="auto"/>
                <w:highlight w:val="none"/>
              </w:rPr>
            </w:pPr>
          </w:p>
        </w:tc>
        <w:tc>
          <w:tcPr>
            <w:tcW w:w="921" w:type="dxa"/>
          </w:tcPr>
          <w:p>
            <w:pPr>
              <w:pStyle w:val="52"/>
              <w:rPr>
                <w:color w:val="auto"/>
                <w:highlight w:val="none"/>
              </w:rPr>
            </w:pPr>
          </w:p>
        </w:tc>
        <w:tc>
          <w:tcPr>
            <w:tcW w:w="923" w:type="dxa"/>
          </w:tcPr>
          <w:p>
            <w:pPr>
              <w:pStyle w:val="52"/>
              <w:rPr>
                <w:color w:val="auto"/>
                <w:highlight w:val="none"/>
              </w:rPr>
            </w:pPr>
          </w:p>
        </w:tc>
        <w:tc>
          <w:tcPr>
            <w:tcW w:w="922" w:type="dxa"/>
          </w:tcPr>
          <w:p>
            <w:pPr>
              <w:pStyle w:val="52"/>
              <w:rPr>
                <w:color w:val="auto"/>
                <w:highlight w:val="none"/>
              </w:rPr>
            </w:pPr>
          </w:p>
        </w:tc>
        <w:tc>
          <w:tcPr>
            <w:tcW w:w="1436" w:type="dxa"/>
          </w:tcPr>
          <w:p>
            <w:pPr>
              <w:pStyle w:val="52"/>
              <w:rPr>
                <w:color w:val="auto"/>
                <w:highlight w:val="none"/>
              </w:rPr>
            </w:pPr>
          </w:p>
        </w:tc>
        <w:tc>
          <w:tcPr>
            <w:tcW w:w="1022" w:type="dxa"/>
          </w:tcPr>
          <w:p>
            <w:pPr>
              <w:pStyle w:val="52"/>
              <w:rPr>
                <w:color w:val="auto"/>
                <w:highlight w:val="none"/>
              </w:rPr>
            </w:pPr>
          </w:p>
        </w:tc>
        <w:tc>
          <w:tcPr>
            <w:tcW w:w="1232" w:type="dxa"/>
          </w:tcPr>
          <w:p>
            <w:pPr>
              <w:pStyle w:val="52"/>
              <w:rPr>
                <w:color w:val="auto"/>
                <w:highlight w:val="none"/>
              </w:rPr>
            </w:pPr>
          </w:p>
        </w:tc>
        <w:tc>
          <w:tcPr>
            <w:tcW w:w="1229" w:type="dxa"/>
          </w:tcPr>
          <w:p>
            <w:pPr>
              <w:pStyle w:val="52"/>
              <w:rPr>
                <w:color w:val="auto"/>
                <w:highlight w:val="none"/>
              </w:rPr>
            </w:pPr>
          </w:p>
        </w:tc>
      </w:tr>
    </w:tbl>
    <w:p>
      <w:pPr>
        <w:pStyle w:val="53"/>
        <w:ind w:firstLine="482"/>
        <w:rPr>
          <w:color w:val="auto"/>
          <w:highlight w:val="none"/>
        </w:rPr>
      </w:pPr>
      <w:r>
        <w:rPr>
          <w:rFonts w:hint="eastAsia"/>
          <w:color w:val="auto"/>
          <w:highlight w:val="none"/>
        </w:rPr>
        <w:t>注：①投标人根据自身实际情况填写，对不涉及的内容可填写“/”。②本表所列项目管理成员信息将作为主管部门监督管理是否属于串通投标的情形。</w:t>
      </w:r>
    </w:p>
    <w:p>
      <w:pPr>
        <w:pStyle w:val="31"/>
        <w:rPr>
          <w:color w:val="auto"/>
          <w:highlight w:val="none"/>
        </w:rPr>
      </w:pPr>
    </w:p>
    <w:p>
      <w:pPr>
        <w:pStyle w:val="31"/>
        <w:rPr>
          <w:color w:val="auto"/>
          <w:highlight w:val="none"/>
        </w:rPr>
      </w:pPr>
    </w:p>
    <w:p>
      <w:pPr>
        <w:pStyle w:val="35"/>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1"/>
        <w:rPr>
          <w:color w:val="auto"/>
          <w:highlight w:val="none"/>
        </w:rPr>
      </w:pPr>
      <w:r>
        <w:rPr>
          <w:rFonts w:hint="eastAsia"/>
          <w:color w:val="auto"/>
          <w:highlight w:val="none"/>
        </w:rPr>
        <w:br w:type="page"/>
      </w:r>
      <w:bookmarkEnd w:id="928"/>
    </w:p>
    <w:p>
      <w:pPr>
        <w:pStyle w:val="51"/>
        <w:numPr>
          <w:ilvl w:val="0"/>
          <w:numId w:val="21"/>
        </w:numPr>
        <w:spacing w:before="120" w:after="120"/>
        <w:ind w:firstLine="0"/>
        <w:rPr>
          <w:color w:val="auto"/>
          <w:highlight w:val="none"/>
        </w:rPr>
        <w:sectPr>
          <w:headerReference r:id="rId15" w:type="first"/>
          <w:footerReference r:id="rId17" w:type="first"/>
          <w:headerReference r:id="rId14" w:type="default"/>
          <w:footerReference r:id="rId16" w:type="default"/>
          <w:pgSz w:w="11906" w:h="16838"/>
          <w:pgMar w:top="1440" w:right="1080" w:bottom="1440" w:left="1080" w:header="851" w:footer="992" w:gutter="0"/>
          <w:cols w:space="0" w:num="1"/>
          <w:titlePg/>
          <w:docGrid w:linePitch="312" w:charSpace="0"/>
        </w:sectPr>
      </w:pPr>
      <w:bookmarkStart w:id="929" w:name="_Toc32188"/>
      <w:bookmarkStart w:id="930" w:name="_Toc881"/>
      <w:bookmarkStart w:id="931" w:name="_Toc18724"/>
    </w:p>
    <w:p>
      <w:pPr>
        <w:pStyle w:val="51"/>
        <w:numPr>
          <w:ilvl w:val="0"/>
          <w:numId w:val="21"/>
        </w:numPr>
        <w:spacing w:before="120" w:after="120"/>
        <w:ind w:firstLine="0"/>
        <w:rPr>
          <w:color w:val="auto"/>
          <w:highlight w:val="none"/>
        </w:rPr>
      </w:pPr>
      <w:bookmarkStart w:id="932" w:name="_Toc14679"/>
      <w:bookmarkStart w:id="933" w:name="_Toc21134"/>
      <w:bookmarkStart w:id="934" w:name="_Toc2450"/>
      <w:bookmarkStart w:id="935" w:name="_Toc122"/>
      <w:bookmarkStart w:id="936" w:name="_Toc8563"/>
      <w:r>
        <w:rPr>
          <w:rFonts w:hint="eastAsia"/>
          <w:color w:val="auto"/>
          <w:highlight w:val="none"/>
        </w:rPr>
        <w:t>小微企业、监狱企业、残疾人福利性单位价格扣除</w:t>
      </w:r>
      <w:bookmarkEnd w:id="932"/>
      <w:bookmarkEnd w:id="933"/>
    </w:p>
    <w:p>
      <w:pPr>
        <w:pStyle w:val="51"/>
        <w:spacing w:before="120" w:after="120"/>
        <w:outlineLvl w:val="3"/>
        <w:rPr>
          <w:color w:val="auto"/>
          <w:highlight w:val="none"/>
        </w:rPr>
      </w:pPr>
      <w:bookmarkStart w:id="937" w:name="_Toc31618"/>
      <w:bookmarkStart w:id="938" w:name="_Toc21853"/>
      <w:r>
        <w:rPr>
          <w:rFonts w:hint="eastAsia"/>
          <w:color w:val="auto"/>
          <w:highlight w:val="none"/>
        </w:rPr>
        <w:t>(一)中小企业声明函</w:t>
      </w:r>
      <w:bookmarkEnd w:id="934"/>
      <w:r>
        <w:rPr>
          <w:rFonts w:hint="eastAsia"/>
          <w:color w:val="auto"/>
          <w:highlight w:val="none"/>
        </w:rPr>
        <w:t>（货物）</w:t>
      </w:r>
      <w:bookmarkEnd w:id="935"/>
      <w:bookmarkEnd w:id="936"/>
      <w:bookmarkEnd w:id="937"/>
      <w:bookmarkEnd w:id="938"/>
    </w:p>
    <w:p>
      <w:pPr>
        <w:pStyle w:val="53"/>
        <w:rPr>
          <w:b w:val="0"/>
          <w:bCs/>
          <w:color w:val="auto"/>
          <w:highlight w:val="none"/>
        </w:rPr>
      </w:pPr>
      <w:bookmarkStart w:id="939" w:name="_Toc8055"/>
      <w:bookmarkStart w:id="940" w:name="_Toc417911732"/>
      <w:bookmarkStart w:id="941" w:name="_Toc419811733"/>
      <w:bookmarkStart w:id="942" w:name="_Toc413748654"/>
      <w:bookmarkStart w:id="943" w:name="_Toc387147344"/>
      <w:bookmarkStart w:id="944" w:name="_Toc387658050"/>
      <w:r>
        <w:rPr>
          <w:rFonts w:hint="eastAsia"/>
          <w:b w:val="0"/>
          <w:bCs/>
          <w:color w:val="auto"/>
          <w:highlight w:val="none"/>
        </w:rPr>
        <w:t>本公司（联合体）郑重声明，根据《政府采购促进中小企业发展管理办法》（财库﹝2020﹞46 号）的规定，本公司（联合体）参加</w:t>
      </w:r>
      <w:r>
        <w:rPr>
          <w:rFonts w:hint="eastAsia"/>
          <w:b w:val="0"/>
          <w:bCs/>
          <w:color w:val="auto"/>
          <w:highlight w:val="none"/>
          <w:u w:val="single"/>
        </w:rPr>
        <w:t>（单位名称）</w:t>
      </w:r>
      <w:r>
        <w:rPr>
          <w:rFonts w:hint="eastAsia"/>
          <w:b w:val="0"/>
          <w:bCs/>
          <w:color w:val="auto"/>
          <w:highlight w:val="none"/>
        </w:rPr>
        <w:t>的</w:t>
      </w:r>
      <w:r>
        <w:rPr>
          <w:rFonts w:hint="eastAsia"/>
          <w:b w:val="0"/>
          <w:bCs/>
          <w:color w:val="auto"/>
          <w:highlight w:val="none"/>
          <w:u w:val="single"/>
        </w:rPr>
        <w:t>（项目名称）</w:t>
      </w:r>
      <w:r>
        <w:rPr>
          <w:rFonts w:hint="eastAsia"/>
          <w:b w:val="0"/>
          <w:bCs/>
          <w:color w:val="auto"/>
          <w:highlight w:val="none"/>
        </w:rPr>
        <w:t>采购活动，提供的货物全部由符合政策要求的中小企业制造。相关企业（含联合体中的中小企业、签订分包意向协议的中小企业） 的具体情况如下：</w:t>
      </w:r>
    </w:p>
    <w:p>
      <w:pPr>
        <w:pStyle w:val="53"/>
        <w:rPr>
          <w:b w:val="0"/>
          <w:bCs/>
          <w:color w:val="auto"/>
          <w:highlight w:val="none"/>
        </w:rPr>
      </w:pPr>
      <w:r>
        <w:rPr>
          <w:rFonts w:hint="eastAsia"/>
          <w:b w:val="0"/>
          <w:bCs/>
          <w:color w:val="auto"/>
          <w:highlight w:val="none"/>
        </w:rPr>
        <w:t xml:space="preserve"> </w:t>
      </w:r>
      <w:r>
        <w:rPr>
          <w:rFonts w:hint="eastAsia"/>
          <w:b w:val="0"/>
          <w:bCs/>
          <w:color w:val="auto"/>
          <w:highlight w:val="none"/>
          <w:u w:val="single"/>
        </w:rPr>
        <w:t>（标的名称）</w:t>
      </w:r>
      <w:r>
        <w:rPr>
          <w:rFonts w:hint="eastAsia"/>
          <w:b w:val="0"/>
          <w:bCs/>
          <w:color w:val="auto"/>
          <w:highlight w:val="none"/>
        </w:rPr>
        <w:t>，属于</w:t>
      </w:r>
      <w:r>
        <w:rPr>
          <w:rFonts w:hint="eastAsia"/>
          <w:b w:val="0"/>
          <w:bCs/>
          <w:color w:val="auto"/>
          <w:highlight w:val="none"/>
          <w:u w:val="single"/>
        </w:rPr>
        <w:t>（采购文件中明确的所属行业）</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53"/>
        <w:rPr>
          <w:b w:val="0"/>
          <w:bCs/>
          <w:color w:val="auto"/>
          <w:highlight w:val="none"/>
        </w:rPr>
      </w:pPr>
      <w:r>
        <w:rPr>
          <w:rFonts w:hint="eastAsia"/>
          <w:b w:val="0"/>
          <w:bCs/>
          <w:color w:val="auto"/>
          <w:highlight w:val="none"/>
        </w:rPr>
        <w:t xml:space="preserve"> </w:t>
      </w:r>
      <w:r>
        <w:rPr>
          <w:rFonts w:hint="eastAsia"/>
          <w:b w:val="0"/>
          <w:bCs/>
          <w:color w:val="auto"/>
          <w:highlight w:val="none"/>
          <w:u w:val="single"/>
        </w:rPr>
        <w:t>（标的名称）</w:t>
      </w:r>
      <w:r>
        <w:rPr>
          <w:rFonts w:hint="eastAsia"/>
          <w:b w:val="0"/>
          <w:bCs/>
          <w:color w:val="auto"/>
          <w:highlight w:val="none"/>
        </w:rPr>
        <w:t>， 属于</w:t>
      </w:r>
      <w:r>
        <w:rPr>
          <w:rFonts w:hint="eastAsia"/>
          <w:b w:val="0"/>
          <w:bCs/>
          <w:color w:val="auto"/>
          <w:highlight w:val="none"/>
          <w:u w:val="single"/>
        </w:rPr>
        <w:t>（采购文件中明确的所属行业）</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rPr>
        <w:tab/>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rPr>
        <w:tab/>
      </w:r>
      <w:r>
        <w:rPr>
          <w:rFonts w:hint="eastAsia"/>
          <w:b w:val="0"/>
          <w:bCs/>
          <w:color w:val="auto"/>
          <w:highlight w:val="none"/>
          <w:u w:val="single"/>
        </w:rPr>
        <w:t xml:space="preserve">   </w:t>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53"/>
        <w:rPr>
          <w:b w:val="0"/>
          <w:bCs/>
          <w:color w:val="auto"/>
          <w:highlight w:val="none"/>
        </w:rPr>
      </w:pPr>
      <w:r>
        <w:rPr>
          <w:rFonts w:hint="eastAsia"/>
          <w:b w:val="0"/>
          <w:bCs/>
          <w:color w:val="auto"/>
          <w:highlight w:val="none"/>
        </w:rPr>
        <w:t>……</w:t>
      </w:r>
    </w:p>
    <w:p>
      <w:pPr>
        <w:pStyle w:val="53"/>
        <w:rPr>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3"/>
        <w:rPr>
          <w:b w:val="0"/>
          <w:bCs/>
          <w:color w:val="auto"/>
          <w:highlight w:val="none"/>
        </w:rPr>
      </w:pPr>
      <w:r>
        <w:rPr>
          <w:rFonts w:hint="eastAsia"/>
          <w:b w:val="0"/>
          <w:bCs/>
          <w:color w:val="auto"/>
          <w:highlight w:val="none"/>
        </w:rPr>
        <w:t>本企业对上述声明内容的真实性负责。如有虚假，将依法承担相应责任。</w:t>
      </w:r>
    </w:p>
    <w:p>
      <w:pPr>
        <w:pStyle w:val="31"/>
        <w:rPr>
          <w:color w:val="auto"/>
          <w:highlight w:val="none"/>
        </w:rPr>
      </w:pPr>
    </w:p>
    <w:p>
      <w:pPr>
        <w:pStyle w:val="31"/>
        <w:ind w:left="4800" w:leftChars="2000"/>
        <w:rPr>
          <w:color w:val="auto"/>
          <w:highlight w:val="none"/>
        </w:rPr>
      </w:pPr>
      <w:r>
        <w:rPr>
          <w:rFonts w:hint="eastAsia"/>
          <w:color w:val="auto"/>
          <w:highlight w:val="none"/>
        </w:rPr>
        <w:t>企业名称(盖章)：</w:t>
      </w:r>
      <w:r>
        <w:rPr>
          <w:rFonts w:hint="eastAsia"/>
          <w:color w:val="auto"/>
          <w:highlight w:val="none"/>
          <w:u w:val="single"/>
        </w:rPr>
        <w:t xml:space="preserve">        </w:t>
      </w:r>
    </w:p>
    <w:p>
      <w:pPr>
        <w:pStyle w:val="31"/>
        <w:ind w:left="4800" w:leftChars="2000"/>
        <w:rPr>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 xml:space="preserve">           　</w:t>
      </w:r>
    </w:p>
    <w:p>
      <w:pPr>
        <w:pStyle w:val="53"/>
        <w:ind w:firstLine="482"/>
        <w:rPr>
          <w:color w:val="auto"/>
          <w:highlight w:val="none"/>
        </w:rPr>
      </w:pPr>
    </w:p>
    <w:p>
      <w:pPr>
        <w:pStyle w:val="53"/>
        <w:ind w:firstLine="482"/>
        <w:rPr>
          <w:color w:val="auto"/>
          <w:highlight w:val="none"/>
        </w:rPr>
      </w:pPr>
      <w:r>
        <w:rPr>
          <w:rFonts w:hint="eastAsia"/>
          <w:color w:val="auto"/>
          <w:highlight w:val="none"/>
        </w:rPr>
        <w:t>注：从业人员、营业收入、资产总额填报上一年度数据，无上一年度数据的新成立企业可不填报。</w:t>
      </w:r>
      <w:r>
        <w:rPr>
          <w:rFonts w:hint="eastAsia"/>
          <w:color w:val="auto"/>
          <w:highlight w:val="none"/>
        </w:rPr>
        <w:br w:type="page"/>
      </w:r>
    </w:p>
    <w:p>
      <w:pPr>
        <w:pStyle w:val="51"/>
        <w:spacing w:before="120" w:after="120"/>
        <w:outlineLvl w:val="3"/>
        <w:rPr>
          <w:color w:val="auto"/>
          <w:highlight w:val="none"/>
        </w:rPr>
      </w:pPr>
      <w:bookmarkStart w:id="945" w:name="_Toc11278"/>
      <w:bookmarkStart w:id="946" w:name="_Toc26771"/>
      <w:bookmarkStart w:id="947" w:name="_Toc2767"/>
      <w:bookmarkStart w:id="948" w:name="_Toc30256"/>
      <w:bookmarkStart w:id="949" w:name="_Toc4657"/>
      <w:r>
        <w:rPr>
          <w:rFonts w:hint="eastAsia"/>
          <w:color w:val="auto"/>
          <w:highlight w:val="none"/>
        </w:rPr>
        <w:t>(二)监狱企业相关证明材料</w:t>
      </w:r>
      <w:bookmarkEnd w:id="939"/>
      <w:r>
        <w:rPr>
          <w:rFonts w:hint="eastAsia"/>
          <w:color w:val="auto"/>
          <w:highlight w:val="none"/>
        </w:rPr>
        <w:t>(如涉及</w:t>
      </w:r>
      <w:bookmarkEnd w:id="945"/>
      <w:r>
        <w:rPr>
          <w:rFonts w:hint="eastAsia"/>
          <w:color w:val="auto"/>
          <w:highlight w:val="none"/>
        </w:rPr>
        <w:t>)</w:t>
      </w:r>
      <w:bookmarkEnd w:id="946"/>
      <w:bookmarkEnd w:id="947"/>
      <w:bookmarkEnd w:id="948"/>
      <w:bookmarkEnd w:id="949"/>
    </w:p>
    <w:p>
      <w:pPr>
        <w:pStyle w:val="53"/>
        <w:ind w:firstLine="482"/>
        <w:rPr>
          <w:color w:val="auto"/>
          <w:highlight w:val="none"/>
        </w:rPr>
      </w:pPr>
      <w:r>
        <w:rPr>
          <w:rFonts w:hint="eastAsia"/>
          <w:color w:val="auto"/>
          <w:highlight w:val="none"/>
        </w:rPr>
        <w:t>说明：①监狱企业参加政府采购活动时，应当提供由省级以上监狱管理局、戒毒管理局(含新疆生产建设兵团)出具的属于监狱企业的证明文件。</w:t>
      </w:r>
    </w:p>
    <w:p>
      <w:pPr>
        <w:pStyle w:val="53"/>
        <w:ind w:firstLine="482"/>
        <w:rPr>
          <w:color w:val="auto"/>
          <w:highlight w:val="none"/>
        </w:rPr>
      </w:pPr>
      <w:r>
        <w:rPr>
          <w:rFonts w:hint="eastAsia"/>
          <w:color w:val="auto"/>
          <w:highlight w:val="none"/>
        </w:rPr>
        <w:t>②如未提供监狱企业相关证明材料的，则其评审中的监狱企业不能享受招标文件规定的价格扣除，但不影响投标文件的有效性。</w:t>
      </w:r>
    </w:p>
    <w:p>
      <w:pPr>
        <w:pStyle w:val="53"/>
        <w:ind w:firstLine="482"/>
        <w:rPr>
          <w:color w:val="auto"/>
          <w:highlight w:val="none"/>
        </w:rPr>
      </w:pPr>
      <w:r>
        <w:rPr>
          <w:rFonts w:hint="eastAsia"/>
          <w:color w:val="auto"/>
          <w:highlight w:val="none"/>
        </w:rPr>
        <w:t>③非监狱企业无需提供证明材料。</w:t>
      </w:r>
    </w:p>
    <w:p>
      <w:pPr>
        <w:pStyle w:val="31"/>
        <w:rPr>
          <w:color w:val="auto"/>
          <w:highlight w:val="none"/>
        </w:rPr>
      </w:pPr>
      <w:r>
        <w:rPr>
          <w:rFonts w:hint="eastAsia"/>
          <w:color w:val="auto"/>
          <w:highlight w:val="none"/>
        </w:rPr>
        <w:br w:type="page"/>
      </w:r>
    </w:p>
    <w:p>
      <w:pPr>
        <w:pStyle w:val="51"/>
        <w:spacing w:before="120" w:after="120"/>
        <w:outlineLvl w:val="3"/>
        <w:rPr>
          <w:color w:val="auto"/>
          <w:highlight w:val="none"/>
        </w:rPr>
      </w:pPr>
      <w:bookmarkStart w:id="950" w:name="_Toc7140"/>
      <w:bookmarkStart w:id="951" w:name="_Toc27384"/>
      <w:bookmarkStart w:id="952" w:name="_Toc30746"/>
      <w:bookmarkStart w:id="953" w:name="_Toc18157"/>
      <w:bookmarkStart w:id="954" w:name="_Toc30301"/>
      <w:r>
        <w:rPr>
          <w:rFonts w:hint="eastAsia"/>
          <w:color w:val="auto"/>
          <w:highlight w:val="none"/>
        </w:rPr>
        <w:t>(三)残疾人福利性单位声明函(如涉及</w:t>
      </w:r>
      <w:bookmarkEnd w:id="950"/>
      <w:r>
        <w:rPr>
          <w:rFonts w:hint="eastAsia"/>
          <w:color w:val="auto"/>
          <w:highlight w:val="none"/>
        </w:rPr>
        <w:t>)</w:t>
      </w:r>
      <w:bookmarkEnd w:id="951"/>
      <w:bookmarkEnd w:id="952"/>
      <w:bookmarkEnd w:id="953"/>
      <w:bookmarkEnd w:id="954"/>
    </w:p>
    <w:p>
      <w:pPr>
        <w:pStyle w:val="35"/>
        <w:rPr>
          <w:color w:val="auto"/>
          <w:highlight w:val="none"/>
        </w:rPr>
      </w:pPr>
      <w:r>
        <w:rPr>
          <w:rFonts w:hint="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单位的</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项目采购活动提供本单位制造的货物，或者提供其他残疾人福利性单位制造的货物(不包括使用非残疾人福利性单位注册商标的货物)。</w:t>
      </w:r>
    </w:p>
    <w:p>
      <w:pPr>
        <w:pStyle w:val="35"/>
        <w:rPr>
          <w:color w:val="auto"/>
          <w:highlight w:val="none"/>
        </w:rPr>
      </w:pPr>
      <w:r>
        <w:rPr>
          <w:rFonts w:hint="eastAsia"/>
          <w:color w:val="auto"/>
          <w:highlight w:val="none"/>
        </w:rPr>
        <w:t>本单位对上述声明的真实性负责。如有虚假，将依法承担相应责任。</w:t>
      </w:r>
    </w:p>
    <w:p>
      <w:pPr>
        <w:pStyle w:val="31"/>
        <w:rPr>
          <w:color w:val="auto"/>
          <w:highlight w:val="none"/>
        </w:rPr>
      </w:pPr>
    </w:p>
    <w:p>
      <w:pPr>
        <w:pStyle w:val="31"/>
        <w:rPr>
          <w:color w:val="auto"/>
          <w:highlight w:val="none"/>
        </w:rPr>
      </w:pPr>
    </w:p>
    <w:p>
      <w:pPr>
        <w:pStyle w:val="31"/>
        <w:rPr>
          <w:color w:val="auto"/>
          <w:highlight w:val="none"/>
        </w:rPr>
      </w:pPr>
    </w:p>
    <w:p>
      <w:pPr>
        <w:pStyle w:val="31"/>
        <w:ind w:left="4800" w:leftChars="2000"/>
        <w:rPr>
          <w:color w:val="auto"/>
          <w:highlight w:val="none"/>
        </w:rPr>
      </w:pPr>
      <w:r>
        <w:rPr>
          <w:rFonts w:hint="eastAsia"/>
          <w:color w:val="auto"/>
          <w:highlight w:val="none"/>
        </w:rPr>
        <w:t>单位名称：</w:t>
      </w:r>
      <w:r>
        <w:rPr>
          <w:rFonts w:hint="eastAsia"/>
          <w:color w:val="auto"/>
          <w:highlight w:val="none"/>
          <w:u w:val="single"/>
        </w:rPr>
        <w:t xml:space="preserve">             </w:t>
      </w:r>
      <w:r>
        <w:rPr>
          <w:rFonts w:hint="eastAsia"/>
          <w:color w:val="auto"/>
          <w:highlight w:val="none"/>
        </w:rPr>
        <w:t xml:space="preserve"> (盖章)</w:t>
      </w:r>
    </w:p>
    <w:p>
      <w:pPr>
        <w:pStyle w:val="31"/>
        <w:ind w:left="4800" w:leftChars="2000"/>
        <w:rPr>
          <w:color w:val="auto"/>
          <w:highlight w:val="none"/>
        </w:rPr>
      </w:pPr>
      <w:r>
        <w:rPr>
          <w:rFonts w:hint="eastAsia"/>
          <w:color w:val="auto"/>
          <w:highlight w:val="none"/>
        </w:rPr>
        <w:t>日    期：</w:t>
      </w:r>
      <w:r>
        <w:rPr>
          <w:rFonts w:hint="eastAsia"/>
          <w:color w:val="auto"/>
          <w:highlight w:val="none"/>
          <w:u w:val="single"/>
        </w:rPr>
        <w:t xml:space="preserve">             </w:t>
      </w:r>
      <w:r>
        <w:rPr>
          <w:rFonts w:hint="eastAsia"/>
          <w:color w:val="auto"/>
          <w:highlight w:val="none"/>
        </w:rPr>
        <w:t xml:space="preserve">   </w:t>
      </w:r>
      <w:bookmarkEnd w:id="940"/>
      <w:bookmarkEnd w:id="941"/>
      <w:bookmarkEnd w:id="942"/>
      <w:bookmarkEnd w:id="943"/>
      <w:bookmarkEnd w:id="944"/>
    </w:p>
    <w:p>
      <w:pPr>
        <w:pStyle w:val="53"/>
        <w:ind w:firstLine="482"/>
        <w:rPr>
          <w:color w:val="auto"/>
          <w:highlight w:val="none"/>
        </w:rPr>
      </w:pPr>
    </w:p>
    <w:p>
      <w:pPr>
        <w:pStyle w:val="53"/>
        <w:ind w:firstLine="482"/>
        <w:rPr>
          <w:color w:val="auto"/>
          <w:highlight w:val="none"/>
        </w:rPr>
      </w:pPr>
    </w:p>
    <w:p>
      <w:pPr>
        <w:pStyle w:val="53"/>
        <w:ind w:firstLine="482"/>
        <w:rPr>
          <w:color w:val="auto"/>
          <w:highlight w:val="none"/>
        </w:rPr>
        <w:sectPr>
          <w:pgSz w:w="11906" w:h="16838"/>
          <w:pgMar w:top="1440" w:right="1080" w:bottom="1440" w:left="1080" w:header="851" w:footer="992" w:gutter="0"/>
          <w:cols w:space="0" w:num="1"/>
          <w:titlePg/>
          <w:docGrid w:linePitch="312" w:charSpace="0"/>
        </w:sectPr>
      </w:pPr>
      <w:r>
        <w:rPr>
          <w:rFonts w:hint="eastAsia"/>
          <w:color w:val="auto"/>
          <w:highlight w:val="none"/>
        </w:rPr>
        <w:t>说明：</w:t>
      </w: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如未提供残疾人福利性单位声明函的，则其评审中的残疾人福利性单位不能享受招标文件规定的价格扣除。非残疾人福利性单位，不需提供此声明函，不影响投标文件的有效性。</w:t>
      </w: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投标人参加政府采购活动时，提供虚假残疾人福利性单位声明函的，以提供虚假材料谋取中标处理</w:t>
      </w:r>
    </w:p>
    <w:p>
      <w:pPr>
        <w:pStyle w:val="51"/>
        <w:numPr>
          <w:ilvl w:val="0"/>
          <w:numId w:val="21"/>
        </w:numPr>
        <w:spacing w:before="120" w:after="120"/>
        <w:ind w:firstLine="0"/>
        <w:rPr>
          <w:color w:val="auto"/>
          <w:highlight w:val="none"/>
        </w:rPr>
      </w:pPr>
      <w:bookmarkStart w:id="955" w:name="_Toc18629"/>
      <w:r>
        <w:rPr>
          <w:rFonts w:hint="eastAsia"/>
          <w:color w:val="auto"/>
          <w:highlight w:val="none"/>
        </w:rPr>
        <w:t>商品包装、快递包装承诺函</w:t>
      </w:r>
      <w:bookmarkEnd w:id="955"/>
    </w:p>
    <w:p>
      <w:pPr>
        <w:rPr>
          <w:color w:val="auto"/>
          <w:highlight w:val="none"/>
        </w:rPr>
      </w:pPr>
      <w:r>
        <w:rPr>
          <w:rFonts w:hint="eastAsia"/>
          <w:color w:val="auto"/>
          <w:highlight w:val="none"/>
        </w:rPr>
        <w:t>四川乾新招投标代理有限公司：</w:t>
      </w:r>
    </w:p>
    <w:p>
      <w:pPr>
        <w:ind w:firstLine="480" w:firstLineChars="200"/>
        <w:rPr>
          <w:color w:val="auto"/>
          <w:highlight w:val="none"/>
        </w:rPr>
      </w:pPr>
      <w:r>
        <w:rPr>
          <w:rFonts w:hint="eastAsia"/>
          <w:color w:val="auto"/>
          <w:highlight w:val="none"/>
        </w:rPr>
        <w:t>我公司作为本次采购项目的投标人，根据招标文件要求，现郑重承诺如下：</w:t>
      </w:r>
    </w:p>
    <w:p>
      <w:pPr>
        <w:ind w:firstLine="480" w:firstLineChars="200"/>
        <w:rPr>
          <w:color w:val="auto"/>
          <w:highlight w:val="none"/>
        </w:rPr>
      </w:pPr>
      <w:r>
        <w:rPr>
          <w:rFonts w:hint="eastAsia"/>
          <w:color w:val="auto"/>
          <w:highlight w:val="none"/>
        </w:rPr>
        <w:t>我方承诺，根据财政部等三部门联合印发商品包装和快递包装政府采购需求标准(试行)财库办〔2020〕123号文要求，若我方提供的货物、服务、工程涉及商品包装和快递包装的，将按照标准要求执行。</w:t>
      </w:r>
    </w:p>
    <w:p>
      <w:pPr>
        <w:ind w:firstLine="480" w:firstLineChars="200"/>
        <w:rPr>
          <w:color w:val="auto"/>
          <w:highlight w:val="none"/>
        </w:rPr>
      </w:pPr>
      <w:r>
        <w:rPr>
          <w:rFonts w:hint="eastAsia"/>
          <w:color w:val="auto"/>
          <w:highlight w:val="none"/>
        </w:rPr>
        <w:t>本公司对上述承诺的内容事项真实性负责。如经查实上述承诺的内容事项存在虚假，我公司愿意接受以提供虚假材料谋取中标追究法律责任。</w:t>
      </w:r>
    </w:p>
    <w:p>
      <w:pPr>
        <w:ind w:firstLine="480" w:firstLineChars="200"/>
        <w:rPr>
          <w:color w:val="auto"/>
          <w:highlight w:val="none"/>
        </w:rPr>
      </w:pPr>
      <w:r>
        <w:rPr>
          <w:rFonts w:hint="eastAsia"/>
          <w:color w:val="auto"/>
          <w:highlight w:val="none"/>
        </w:rPr>
        <w:t>注：《商品包装政府采购需求标准(试行)》、《快递包装政府采购需求标准(试行)》的标准详见中国政府采购网。</w:t>
      </w:r>
    </w:p>
    <w:p>
      <w:pPr>
        <w:rPr>
          <w:color w:val="auto"/>
          <w:highlight w:val="none"/>
        </w:rPr>
      </w:pPr>
      <w:r>
        <w:rPr>
          <w:rFonts w:hint="eastAsia"/>
          <w:color w:val="auto"/>
          <w:highlight w:val="none"/>
        </w:rPr>
        <w:t> </w:t>
      </w:r>
    </w:p>
    <w:p>
      <w:pPr>
        <w:pStyle w:val="35"/>
        <w:rPr>
          <w:color w:val="auto"/>
          <w:highlight w:val="none"/>
        </w:rPr>
      </w:pPr>
      <w:r>
        <w:rPr>
          <w:rFonts w:hint="eastAsia"/>
          <w:color w:val="auto"/>
          <w:highlight w:val="none"/>
        </w:rPr>
        <w:t>投标人名称：</w:t>
      </w:r>
      <w:r>
        <w:rPr>
          <w:rFonts w:hint="eastAsia"/>
          <w:color w:val="auto"/>
          <w:highlight w:val="none"/>
          <w:u w:val="single"/>
        </w:rPr>
        <w:t xml:space="preserve">               </w:t>
      </w:r>
    </w:p>
    <w:p>
      <w:pPr>
        <w:pStyle w:val="35"/>
        <w:rPr>
          <w:color w:val="auto"/>
          <w:highlight w:val="none"/>
        </w:rPr>
      </w:pPr>
      <w:r>
        <w:rPr>
          <w:rFonts w:hint="eastAsia"/>
          <w:color w:val="auto"/>
          <w:highlight w:val="none"/>
        </w:rPr>
        <w:t>投标日期：</w:t>
      </w:r>
      <w:r>
        <w:rPr>
          <w:rFonts w:hint="eastAsia"/>
          <w:color w:val="auto"/>
          <w:highlight w:val="none"/>
          <w:u w:val="single"/>
        </w:rPr>
        <w:t xml:space="preserve">                 </w:t>
      </w:r>
    </w:p>
    <w:p>
      <w:pPr>
        <w:pStyle w:val="51"/>
        <w:numPr>
          <w:ilvl w:val="0"/>
          <w:numId w:val="21"/>
        </w:numPr>
        <w:spacing w:before="120" w:after="120"/>
        <w:ind w:firstLine="0"/>
        <w:rPr>
          <w:color w:val="auto"/>
          <w:highlight w:val="none"/>
        </w:rPr>
      </w:pPr>
      <w:bookmarkStart w:id="956" w:name="_Toc2256"/>
      <w:r>
        <w:rPr>
          <w:rFonts w:hint="eastAsia"/>
          <w:color w:val="auto"/>
          <w:highlight w:val="none"/>
        </w:rPr>
        <w:t>招标代理服务费承诺函</w:t>
      </w:r>
      <w:bookmarkEnd w:id="929"/>
      <w:bookmarkEnd w:id="956"/>
    </w:p>
    <w:p>
      <w:pPr>
        <w:pStyle w:val="31"/>
        <w:rPr>
          <w:color w:val="auto"/>
          <w:highlight w:val="none"/>
        </w:rPr>
      </w:pPr>
      <w:r>
        <w:rPr>
          <w:rFonts w:hint="eastAsia"/>
          <w:color w:val="auto"/>
          <w:highlight w:val="none"/>
        </w:rPr>
        <w:t>四川乾新招投标代理有限公司：</w:t>
      </w:r>
    </w:p>
    <w:p>
      <w:pPr>
        <w:pStyle w:val="35"/>
        <w:rPr>
          <w:b/>
          <w:bCs/>
          <w:color w:val="auto"/>
          <w:highlight w:val="none"/>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的规定，以支票、银行汇票、电汇、现金或经贵公司认可的一种方式，向贵公司即四川乾新招投标代理有限公司指定的银行账号，按照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rPr>
        <w:t>如因我公司自身原因造成取消中标资格或自愿放弃中标资格的，我司已交纳的招标代理服务费不予退还，由此造成的损失由我方自行承担。</w:t>
      </w:r>
    </w:p>
    <w:p>
      <w:pPr>
        <w:pStyle w:val="35"/>
        <w:rPr>
          <w:color w:val="auto"/>
          <w:highlight w:val="none"/>
        </w:rPr>
      </w:pPr>
    </w:p>
    <w:p>
      <w:pPr>
        <w:pStyle w:val="35"/>
        <w:rPr>
          <w:color w:val="auto"/>
          <w:highlight w:val="none"/>
        </w:rPr>
      </w:pPr>
    </w:p>
    <w:p>
      <w:pPr>
        <w:pStyle w:val="35"/>
        <w:rPr>
          <w:color w:val="auto"/>
          <w:highlight w:val="none"/>
        </w:rPr>
      </w:pPr>
      <w:r>
        <w:rPr>
          <w:rFonts w:hint="eastAsia"/>
          <w:color w:val="auto"/>
          <w:highlight w:val="none"/>
        </w:rPr>
        <w:t>特此承诺。</w:t>
      </w:r>
    </w:p>
    <w:p>
      <w:pPr>
        <w:pStyle w:val="31"/>
        <w:rPr>
          <w:color w:val="auto"/>
          <w:highlight w:val="none"/>
        </w:rPr>
      </w:pPr>
    </w:p>
    <w:p>
      <w:pPr>
        <w:pStyle w:val="31"/>
        <w:rPr>
          <w:color w:val="auto"/>
          <w:highlight w:val="none"/>
        </w:rPr>
      </w:pP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  话：</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邮  编：</w:t>
      </w:r>
      <w:r>
        <w:rPr>
          <w:rFonts w:hint="eastAsia" w:asciiTheme="minorEastAsia" w:hAnsiTheme="minorEastAsia" w:eastAsiaTheme="minorEastAsia" w:cstheme="minorEastAsia"/>
          <w:bCs/>
          <w:color w:val="auto"/>
          <w:highlight w:val="none"/>
          <w:u w:val="single"/>
        </w:rPr>
        <w:t xml:space="preserve">                </w:t>
      </w:r>
    </w:p>
    <w:p>
      <w:pPr>
        <w:ind w:firstLine="480" w:firstLineChars="200"/>
        <w:rPr>
          <w:color w:val="auto"/>
          <w:highlight w:val="none"/>
        </w:rPr>
      </w:pPr>
      <w:r>
        <w:rPr>
          <w:rFonts w:hint="eastAsia"/>
          <w:color w:val="auto"/>
          <w:highlight w:val="none"/>
        </w:rPr>
        <w:t>法定</w:t>
      </w:r>
      <w:r>
        <w:rPr>
          <w:rFonts w:hint="eastAsia" w:asciiTheme="minorEastAsia" w:hAnsiTheme="minorEastAsia" w:eastAsiaTheme="minorEastAsia" w:cstheme="minorEastAsia"/>
          <w:color w:val="auto"/>
          <w:highlight w:val="none"/>
        </w:rPr>
        <w:t>代表人</w:t>
      </w:r>
      <w:r>
        <w:rPr>
          <w:rFonts w:hint="eastAsia"/>
          <w:color w:val="auto"/>
          <w:highlight w:val="none"/>
        </w:rPr>
        <w:t>/单位负责人或授权代表：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承诺日期：</w:t>
      </w:r>
      <w:r>
        <w:rPr>
          <w:rFonts w:hint="eastAsia" w:asciiTheme="minorEastAsia" w:hAnsiTheme="minorEastAsia" w:eastAsiaTheme="minorEastAsia" w:cstheme="minorEastAsia"/>
          <w:bCs/>
          <w:color w:val="auto"/>
          <w:highlight w:val="none"/>
          <w:u w:val="single"/>
        </w:rPr>
        <w:t xml:space="preserve">                </w:t>
      </w:r>
    </w:p>
    <w:p>
      <w:pPr>
        <w:pStyle w:val="31"/>
        <w:rPr>
          <w:color w:val="auto"/>
          <w:highlight w:val="none"/>
        </w:rPr>
      </w:pPr>
      <w:r>
        <w:rPr>
          <w:rFonts w:hint="eastAsia"/>
          <w:color w:val="auto"/>
          <w:highlight w:val="none"/>
        </w:rPr>
        <w:t xml:space="preserve">                </w:t>
      </w:r>
    </w:p>
    <w:p>
      <w:pPr>
        <w:pStyle w:val="31"/>
        <w:rPr>
          <w:color w:val="auto"/>
          <w:highlight w:val="none"/>
        </w:rPr>
      </w:pPr>
    </w:p>
    <w:p>
      <w:pPr>
        <w:pStyle w:val="31"/>
        <w:rPr>
          <w:color w:val="auto"/>
          <w:highlight w:val="none"/>
        </w:rPr>
      </w:pPr>
      <w:r>
        <w:rPr>
          <w:rFonts w:hint="eastAsia"/>
          <w:color w:val="auto"/>
          <w:highlight w:val="none"/>
        </w:rPr>
        <w:br w:type="page"/>
      </w:r>
    </w:p>
    <w:bookmarkEnd w:id="930"/>
    <w:bookmarkEnd w:id="931"/>
    <w:p>
      <w:pPr>
        <w:pStyle w:val="30"/>
        <w:numPr>
          <w:ilvl w:val="0"/>
          <w:numId w:val="11"/>
        </w:numPr>
        <w:spacing w:before="120" w:after="120"/>
        <w:rPr>
          <w:color w:val="auto"/>
          <w:w w:val="95"/>
          <w:highlight w:val="none"/>
        </w:rPr>
      </w:pPr>
      <w:bookmarkStart w:id="957" w:name="_Toc32628"/>
      <w:bookmarkStart w:id="958" w:name="_Toc23987"/>
      <w:bookmarkStart w:id="959" w:name="_Toc1941"/>
      <w:bookmarkStart w:id="960" w:name="_Toc17786"/>
      <w:bookmarkStart w:id="961" w:name="_Toc10576"/>
      <w:bookmarkStart w:id="962" w:name="_Toc24042"/>
      <w:bookmarkStart w:id="963" w:name="_Toc8502"/>
      <w:r>
        <w:rPr>
          <w:rFonts w:hint="eastAsia"/>
          <w:color w:val="auto"/>
          <w:w w:val="95"/>
          <w:highlight w:val="none"/>
        </w:rPr>
        <w:t>投标人和投标产品的资格、资质性</w:t>
      </w:r>
      <w:bookmarkStart w:id="964" w:name="_Toc21759"/>
      <w:bookmarkStart w:id="965" w:name="_Toc307501136"/>
      <w:bookmarkStart w:id="966" w:name="_Toc17884"/>
      <w:bookmarkStart w:id="967" w:name="_Toc307564882"/>
      <w:bookmarkStart w:id="968" w:name="_Toc319439931"/>
      <w:bookmarkStart w:id="969" w:name="_Toc327196317"/>
      <w:r>
        <w:rPr>
          <w:rFonts w:hint="eastAsia"/>
          <w:color w:val="auto"/>
          <w:w w:val="95"/>
          <w:highlight w:val="none"/>
        </w:rPr>
        <w:t>及其他类似效力要求</w:t>
      </w:r>
      <w:bookmarkEnd w:id="957"/>
      <w:bookmarkEnd w:id="958"/>
      <w:bookmarkEnd w:id="959"/>
      <w:bookmarkEnd w:id="960"/>
      <w:bookmarkEnd w:id="964"/>
      <w:bookmarkEnd w:id="965"/>
      <w:bookmarkEnd w:id="966"/>
      <w:bookmarkEnd w:id="967"/>
      <w:bookmarkEnd w:id="968"/>
      <w:bookmarkEnd w:id="969"/>
    </w:p>
    <w:p>
      <w:pPr>
        <w:pStyle w:val="32"/>
        <w:numPr>
          <w:ilvl w:val="1"/>
          <w:numId w:val="11"/>
        </w:numPr>
        <w:ind w:firstLine="482"/>
        <w:rPr>
          <w:color w:val="auto"/>
          <w:highlight w:val="none"/>
          <w:lang w:val="zh-CN"/>
        </w:rPr>
      </w:pPr>
      <w:bookmarkStart w:id="970" w:name="_Toc20587"/>
      <w:bookmarkStart w:id="971" w:name="_Toc30456"/>
      <w:r>
        <w:rPr>
          <w:rFonts w:hint="eastAsia"/>
          <w:color w:val="auto"/>
          <w:highlight w:val="none"/>
        </w:rPr>
        <w:t>投标人资格、资质性及其他类似效力要求</w:t>
      </w:r>
      <w:bookmarkEnd w:id="961"/>
      <w:bookmarkEnd w:id="962"/>
      <w:bookmarkEnd w:id="963"/>
      <w:bookmarkEnd w:id="970"/>
      <w:bookmarkEnd w:id="971"/>
    </w:p>
    <w:p>
      <w:pPr>
        <w:pStyle w:val="31"/>
        <w:ind w:firstLine="480" w:firstLineChars="200"/>
        <w:rPr>
          <w:color w:val="auto"/>
          <w:highlight w:val="none"/>
          <w:lang w:val="zh-CN"/>
        </w:rPr>
      </w:pPr>
      <w:bookmarkStart w:id="972" w:name="_Toc4824"/>
      <w:bookmarkStart w:id="973" w:name="_Toc5268"/>
      <w:bookmarkStart w:id="974" w:name="_Toc14656"/>
      <w:bookmarkStart w:id="975" w:name="_Toc18335"/>
      <w:r>
        <w:rPr>
          <w:rFonts w:hint="eastAsia"/>
          <w:color w:val="auto"/>
          <w:highlight w:val="none"/>
        </w:rPr>
        <w:t>(一)</w:t>
      </w:r>
      <w:r>
        <w:rPr>
          <w:rFonts w:hint="eastAsia"/>
          <w:color w:val="auto"/>
          <w:highlight w:val="none"/>
          <w:lang w:val="zh-CN"/>
        </w:rPr>
        <w:t>符合《中华人民共和国政府采购法》第二十二条规定的条件：</w:t>
      </w:r>
    </w:p>
    <w:p>
      <w:pPr>
        <w:pStyle w:val="31"/>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31"/>
        <w:ind w:firstLine="480" w:firstLineChars="200"/>
        <w:rPr>
          <w:color w:val="auto"/>
          <w:highlight w:val="none"/>
        </w:rPr>
      </w:pPr>
      <w:r>
        <w:rPr>
          <w:rFonts w:hint="eastAsia"/>
          <w:color w:val="auto"/>
          <w:highlight w:val="none"/>
        </w:rPr>
        <w:t>2.具有良好的商业信誉和健全的财务会计制度；</w:t>
      </w:r>
    </w:p>
    <w:p>
      <w:pPr>
        <w:pStyle w:val="31"/>
        <w:ind w:firstLine="480" w:firstLineChars="200"/>
        <w:rPr>
          <w:color w:val="auto"/>
          <w:highlight w:val="none"/>
        </w:rPr>
      </w:pPr>
      <w:r>
        <w:rPr>
          <w:rFonts w:hint="eastAsia"/>
          <w:color w:val="auto"/>
          <w:highlight w:val="none"/>
        </w:rPr>
        <w:t>3.具有履行合同所必需的设备和专业技术能力；</w:t>
      </w:r>
    </w:p>
    <w:p>
      <w:pPr>
        <w:pStyle w:val="31"/>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rFonts w:hint="eastAsia"/>
          <w:color w:val="auto"/>
          <w:highlight w:val="none"/>
        </w:rPr>
        <w:fldChar w:fldCharType="end"/>
      </w:r>
      <w:r>
        <w:rPr>
          <w:rFonts w:hint="eastAsia"/>
          <w:color w:val="auto"/>
          <w:highlight w:val="none"/>
        </w:rPr>
        <w:t>资金的良好记录；</w:t>
      </w:r>
    </w:p>
    <w:p>
      <w:pPr>
        <w:pStyle w:val="31"/>
        <w:ind w:firstLine="480" w:firstLineChars="200"/>
        <w:rPr>
          <w:color w:val="auto"/>
          <w:highlight w:val="none"/>
        </w:rPr>
      </w:pPr>
      <w:r>
        <w:rPr>
          <w:rFonts w:hint="eastAsia"/>
          <w:color w:val="auto"/>
          <w:highlight w:val="none"/>
        </w:rPr>
        <w:t>5.参加政府采购活动前三年内，在经营活动中没有重大违法记录；</w:t>
      </w:r>
    </w:p>
    <w:p>
      <w:pPr>
        <w:pStyle w:val="31"/>
        <w:ind w:firstLine="480" w:firstLineChars="200"/>
        <w:rPr>
          <w:color w:val="auto"/>
          <w:highlight w:val="none"/>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w:t>
      </w:r>
    </w:p>
    <w:p>
      <w:pPr>
        <w:pStyle w:val="31"/>
        <w:spacing w:line="460" w:lineRule="exact"/>
        <w:ind w:firstLine="480" w:firstLineChars="200"/>
        <w:rPr>
          <w:color w:val="auto"/>
          <w:highlight w:val="none"/>
          <w:lang w:val="zh-CN"/>
        </w:rPr>
      </w:pPr>
      <w:r>
        <w:rPr>
          <w:rFonts w:hint="eastAsia"/>
          <w:color w:val="auto"/>
          <w:highlight w:val="none"/>
        </w:rPr>
        <w:t>(二)</w:t>
      </w:r>
      <w:r>
        <w:rPr>
          <w:rFonts w:hint="eastAsia"/>
          <w:color w:val="auto"/>
          <w:highlight w:val="none"/>
          <w:lang w:val="zh-CN"/>
        </w:rPr>
        <w:t>本项目的特定资格要求：</w:t>
      </w:r>
      <w:r>
        <w:rPr>
          <w:rFonts w:hint="eastAsia"/>
          <w:color w:val="auto"/>
          <w:highlight w:val="none"/>
        </w:rPr>
        <w:t>本项目不接受联合体投标。</w:t>
      </w:r>
    </w:p>
    <w:p>
      <w:pPr>
        <w:pStyle w:val="32"/>
        <w:numPr>
          <w:ilvl w:val="1"/>
          <w:numId w:val="11"/>
        </w:numPr>
        <w:ind w:firstLine="482"/>
        <w:rPr>
          <w:color w:val="auto"/>
          <w:highlight w:val="none"/>
        </w:rPr>
      </w:pPr>
      <w:bookmarkStart w:id="976" w:name="_Toc29519"/>
      <w:r>
        <w:rPr>
          <w:rFonts w:hint="eastAsia"/>
          <w:color w:val="auto"/>
          <w:highlight w:val="none"/>
        </w:rPr>
        <w:t>投标产品的资格、资质性及其他类似效力要求</w:t>
      </w:r>
      <w:bookmarkEnd w:id="972"/>
      <w:bookmarkEnd w:id="973"/>
      <w:bookmarkEnd w:id="974"/>
      <w:bookmarkEnd w:id="975"/>
      <w:bookmarkEnd w:id="976"/>
    </w:p>
    <w:p>
      <w:pPr>
        <w:pStyle w:val="35"/>
        <w:rPr>
          <w:color w:val="auto"/>
          <w:highlight w:val="none"/>
        </w:rPr>
      </w:pPr>
      <w:r>
        <w:rPr>
          <w:rFonts w:hint="eastAsia"/>
          <w:color w:val="auto"/>
          <w:highlight w:val="none"/>
        </w:rPr>
        <w:t>无。</w:t>
      </w:r>
    </w:p>
    <w:p>
      <w:pPr>
        <w:pStyle w:val="32"/>
        <w:numPr>
          <w:ilvl w:val="1"/>
          <w:numId w:val="11"/>
        </w:numPr>
        <w:ind w:firstLine="482"/>
        <w:rPr>
          <w:color w:val="auto"/>
          <w:highlight w:val="none"/>
        </w:rPr>
      </w:pPr>
      <w:bookmarkStart w:id="977" w:name="_Toc3740"/>
      <w:bookmarkStart w:id="978" w:name="_Toc27642"/>
      <w:r>
        <w:rPr>
          <w:rFonts w:hint="eastAsia"/>
          <w:color w:val="auto"/>
          <w:highlight w:val="none"/>
        </w:rPr>
        <w:t>其他类似效力要求</w:t>
      </w:r>
      <w:bookmarkEnd w:id="977"/>
      <w:bookmarkEnd w:id="978"/>
    </w:p>
    <w:p>
      <w:pPr>
        <w:pStyle w:val="41"/>
        <w:numPr>
          <w:ilvl w:val="1"/>
          <w:numId w:val="24"/>
        </w:numPr>
        <w:ind w:firstLine="480"/>
        <w:rPr>
          <w:color w:val="auto"/>
          <w:highlight w:val="none"/>
          <w:lang w:val="zh-CN"/>
        </w:rPr>
      </w:pPr>
      <w:r>
        <w:rPr>
          <w:rFonts w:hint="eastAsia"/>
          <w:color w:val="auto"/>
          <w:highlight w:val="none"/>
          <w:lang w:val="zh-CN"/>
        </w:rPr>
        <w:t>投标供应商单位及其现任法定代表人、主要负责人不得具有行贿犯罪记录；</w:t>
      </w:r>
    </w:p>
    <w:p>
      <w:pPr>
        <w:pStyle w:val="41"/>
        <w:numPr>
          <w:ilvl w:val="1"/>
          <w:numId w:val="24"/>
        </w:numPr>
        <w:ind w:firstLine="480"/>
        <w:rPr>
          <w:color w:val="auto"/>
          <w:highlight w:val="none"/>
          <w:lang w:val="zh-CN"/>
        </w:rPr>
      </w:pPr>
      <w:r>
        <w:rPr>
          <w:rFonts w:hint="eastAsia"/>
          <w:color w:val="auto"/>
          <w:highlight w:val="none"/>
          <w:lang w:val="zh-CN"/>
        </w:rPr>
        <w:t>投标人代表不是法定代表人</w:t>
      </w:r>
      <w:r>
        <w:rPr>
          <w:rFonts w:hint="eastAsia"/>
          <w:color w:val="auto"/>
          <w:highlight w:val="none"/>
        </w:rPr>
        <w:t>/单位负责人</w:t>
      </w:r>
      <w:r>
        <w:rPr>
          <w:rFonts w:hint="eastAsia"/>
          <w:color w:val="auto"/>
          <w:highlight w:val="none"/>
          <w:lang w:val="zh-CN"/>
        </w:rPr>
        <w:t>时提供针对本次投标的法定代表人</w:t>
      </w:r>
      <w:r>
        <w:rPr>
          <w:rFonts w:hint="eastAsia"/>
          <w:color w:val="auto"/>
          <w:highlight w:val="none"/>
        </w:rPr>
        <w:t>/单位负责人</w:t>
      </w:r>
      <w:r>
        <w:rPr>
          <w:rFonts w:hint="eastAsia"/>
          <w:color w:val="auto"/>
          <w:highlight w:val="none"/>
          <w:lang w:val="zh-CN"/>
        </w:rPr>
        <w:t>授权书原件；</w:t>
      </w:r>
    </w:p>
    <w:p>
      <w:pPr>
        <w:pStyle w:val="41"/>
        <w:numPr>
          <w:ilvl w:val="1"/>
          <w:numId w:val="24"/>
        </w:numPr>
        <w:ind w:firstLine="480"/>
        <w:rPr>
          <w:color w:val="auto"/>
          <w:highlight w:val="none"/>
          <w:lang w:val="zh-CN"/>
        </w:rPr>
      </w:pPr>
      <w:r>
        <w:rPr>
          <w:rFonts w:hint="eastAsia"/>
          <w:color w:val="auto"/>
          <w:highlight w:val="none"/>
        </w:rPr>
        <w:t>投标人代表是法定</w:t>
      </w:r>
      <w:r>
        <w:rPr>
          <w:rFonts w:hint="eastAsia"/>
          <w:color w:val="auto"/>
          <w:highlight w:val="none"/>
          <w:lang w:val="zh-CN"/>
        </w:rPr>
        <w:t>代表人</w:t>
      </w:r>
      <w:r>
        <w:rPr>
          <w:rFonts w:hint="eastAsia"/>
          <w:color w:val="auto"/>
          <w:highlight w:val="none"/>
        </w:rPr>
        <w:t>/单位负责人</w:t>
      </w:r>
      <w:r>
        <w:rPr>
          <w:rFonts w:hint="eastAsia"/>
          <w:color w:val="auto"/>
          <w:highlight w:val="none"/>
          <w:lang w:val="zh-CN"/>
        </w:rPr>
        <w:t>时，</w:t>
      </w:r>
      <w:r>
        <w:rPr>
          <w:rFonts w:hint="eastAsia"/>
          <w:color w:val="auto"/>
          <w:highlight w:val="none"/>
        </w:rPr>
        <w:t>提供法定代表人/单位负责人证明书原件。</w:t>
      </w:r>
    </w:p>
    <w:p>
      <w:pPr>
        <w:pStyle w:val="35"/>
        <w:ind w:firstLine="482"/>
        <w:rPr>
          <w:b/>
          <w:bCs/>
          <w:color w:val="auto"/>
          <w:highlight w:val="none"/>
        </w:rPr>
      </w:pPr>
      <w:bookmarkStart w:id="979" w:name="_Toc24888"/>
      <w:r>
        <w:rPr>
          <w:rFonts w:hint="eastAsia"/>
          <w:b/>
          <w:bCs/>
          <w:color w:val="auto"/>
          <w:highlight w:val="none"/>
        </w:rPr>
        <w:t>注：</w:t>
      </w:r>
      <w:r>
        <w:rPr>
          <w:rFonts w:hint="eastAsia" w:cs="宋体"/>
          <w:b/>
          <w:bCs/>
          <w:color w:val="auto"/>
          <w:highlight w:val="none"/>
        </w:rPr>
        <w:t>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w:t>
      </w:r>
      <w:r>
        <w:rPr>
          <w:rFonts w:hint="eastAsia"/>
          <w:b/>
          <w:bCs/>
          <w:color w:val="auto"/>
          <w:highlight w:val="none"/>
        </w:rPr>
        <w:t>。若虚假响应，取消中标资格。</w:t>
      </w:r>
    </w:p>
    <w:p>
      <w:pPr>
        <w:pStyle w:val="35"/>
        <w:ind w:firstLine="482"/>
        <w:rPr>
          <w:b/>
          <w:bCs/>
          <w:color w:val="auto"/>
          <w:highlight w:val="none"/>
        </w:rPr>
      </w:pPr>
      <w:r>
        <w:rPr>
          <w:rFonts w:hint="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3"/>
        <w:ind w:firstLine="482"/>
        <w:rPr>
          <w:color w:val="auto"/>
          <w:highlight w:val="none"/>
        </w:rPr>
      </w:pPr>
      <w:r>
        <w:rPr>
          <w:rFonts w:hint="eastAsia"/>
          <w:color w:val="auto"/>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30"/>
        <w:numPr>
          <w:ilvl w:val="0"/>
          <w:numId w:val="11"/>
        </w:numPr>
        <w:spacing w:before="120" w:after="120"/>
        <w:rPr>
          <w:color w:val="auto"/>
          <w:highlight w:val="none"/>
        </w:rPr>
      </w:pPr>
      <w:r>
        <w:rPr>
          <w:rFonts w:hint="eastAsia"/>
          <w:color w:val="auto"/>
          <w:highlight w:val="none"/>
        </w:rPr>
        <w:br w:type="page"/>
      </w:r>
      <w:bookmarkEnd w:id="979"/>
      <w:bookmarkStart w:id="980" w:name="_Toc18196"/>
      <w:bookmarkStart w:id="981" w:name="_Toc22998"/>
      <w:bookmarkStart w:id="982" w:name="_Toc13801"/>
      <w:r>
        <w:rPr>
          <w:rFonts w:hint="eastAsia"/>
          <w:color w:val="auto"/>
          <w:highlight w:val="none"/>
        </w:rPr>
        <w:t>资格性审查</w:t>
      </w:r>
      <w:bookmarkEnd w:id="980"/>
      <w:r>
        <w:rPr>
          <w:rFonts w:hint="eastAsia"/>
          <w:color w:val="auto"/>
          <w:highlight w:val="none"/>
        </w:rPr>
        <w:t>内容</w:t>
      </w:r>
      <w:bookmarkEnd w:id="981"/>
      <w:bookmarkEnd w:id="982"/>
    </w:p>
    <w:p>
      <w:pPr>
        <w:pStyle w:val="32"/>
        <w:numPr>
          <w:ilvl w:val="1"/>
          <w:numId w:val="11"/>
        </w:numPr>
        <w:ind w:firstLine="482"/>
        <w:rPr>
          <w:color w:val="auto"/>
          <w:highlight w:val="none"/>
        </w:rPr>
      </w:pPr>
      <w:bookmarkStart w:id="983" w:name="_Toc28265"/>
      <w:bookmarkStart w:id="984" w:name="_Toc17621"/>
      <w:bookmarkStart w:id="985" w:name="_Toc3107"/>
      <w:bookmarkStart w:id="986" w:name="_Toc17175"/>
      <w:bookmarkStart w:id="987" w:name="_Toc29817"/>
      <w:bookmarkStart w:id="988" w:name="_Toc30344"/>
      <w:bookmarkStart w:id="989" w:name="_Toc20678"/>
      <w:bookmarkStart w:id="990" w:name="_Toc10631"/>
      <w:bookmarkStart w:id="991" w:name="_Toc141"/>
      <w:bookmarkStart w:id="992" w:name="_Toc32482"/>
      <w:r>
        <w:rPr>
          <w:rFonts w:hint="eastAsia"/>
          <w:color w:val="auto"/>
          <w:highlight w:val="none"/>
        </w:rPr>
        <w:t>应当提供的投标人及投标产品资格、资质性及其他类似效力要求的相关证明材料</w:t>
      </w:r>
      <w:bookmarkEnd w:id="983"/>
      <w:bookmarkEnd w:id="984"/>
      <w:bookmarkEnd w:id="985"/>
      <w:bookmarkEnd w:id="986"/>
      <w:bookmarkEnd w:id="987"/>
      <w:bookmarkEnd w:id="988"/>
    </w:p>
    <w:p>
      <w:pPr>
        <w:pStyle w:val="41"/>
        <w:numPr>
          <w:ilvl w:val="1"/>
          <w:numId w:val="25"/>
        </w:numPr>
        <w:ind w:firstLine="482"/>
        <w:rPr>
          <w:b/>
          <w:bCs/>
          <w:color w:val="auto"/>
          <w:highlight w:val="none"/>
        </w:rPr>
      </w:pPr>
      <w:r>
        <w:rPr>
          <w:rFonts w:hint="eastAsia"/>
          <w:b/>
          <w:bCs/>
          <w:color w:val="auto"/>
          <w:highlight w:val="none"/>
        </w:rPr>
        <w:t>投标人具有独立承担民事责任的能力的证明材料；</w:t>
      </w:r>
    </w:p>
    <w:p>
      <w:pPr>
        <w:pStyle w:val="35"/>
        <w:rPr>
          <w:color w:val="auto"/>
          <w:highlight w:val="none"/>
        </w:rPr>
      </w:pPr>
      <w:r>
        <w:rPr>
          <w:rFonts w:hint="eastAsia"/>
          <w:color w:val="auto"/>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3"/>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注：1.以上证明材料应满足此条要求①发证机关有年检要求的，应按规定通过年检；②在有效期内；③复印件加盖投标人电子签章；</w:t>
      </w:r>
    </w:p>
    <w:p>
      <w:pPr>
        <w:pStyle w:val="53"/>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3"/>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提供多证合一证照复印件</w:t>
      </w:r>
      <w:r>
        <w:rPr>
          <w:color w:val="auto"/>
          <w:highlight w:val="none"/>
        </w:rPr>
        <w:t>。</w:t>
      </w:r>
    </w:p>
    <w:p>
      <w:pPr>
        <w:pStyle w:val="41"/>
        <w:numPr>
          <w:ilvl w:val="1"/>
          <w:numId w:val="25"/>
        </w:numPr>
        <w:ind w:firstLine="482"/>
        <w:rPr>
          <w:b/>
          <w:bCs/>
          <w:color w:val="auto"/>
          <w:highlight w:val="none"/>
        </w:rPr>
      </w:pPr>
      <w:r>
        <w:rPr>
          <w:rFonts w:hint="eastAsia"/>
          <w:b/>
          <w:bCs/>
          <w:color w:val="auto"/>
          <w:highlight w:val="none"/>
        </w:rPr>
        <w:t>投标人具有良好的商业信誉和健全的财务会计制度的证明材料；</w:t>
      </w:r>
    </w:p>
    <w:p>
      <w:pPr>
        <w:pStyle w:val="35"/>
        <w:rPr>
          <w:color w:val="auto"/>
          <w:highlight w:val="none"/>
        </w:rPr>
      </w:pPr>
      <w:r>
        <w:rPr>
          <w:rFonts w:hint="eastAsia"/>
          <w:color w:val="auto"/>
          <w:highlight w:val="none"/>
        </w:rPr>
        <w:t>1.投标人具有良好商业信誉的证明材料</w:t>
      </w:r>
    </w:p>
    <w:p>
      <w:pPr>
        <w:pStyle w:val="35"/>
        <w:rPr>
          <w:color w:val="auto"/>
          <w:highlight w:val="none"/>
        </w:rPr>
      </w:pPr>
      <w:r>
        <w:rPr>
          <w:rFonts w:hint="eastAsia"/>
          <w:color w:val="auto"/>
          <w:highlight w:val="none"/>
        </w:rPr>
        <w:t>提供具有良好的商业信誉的承诺函。</w:t>
      </w:r>
    </w:p>
    <w:p>
      <w:pPr>
        <w:pStyle w:val="35"/>
        <w:ind w:firstLine="482"/>
        <w:rPr>
          <w:b/>
          <w:bCs/>
          <w:color w:val="auto"/>
          <w:highlight w:val="none"/>
        </w:rPr>
      </w:pPr>
      <w:r>
        <w:rPr>
          <w:rFonts w:hint="eastAsia"/>
          <w:b/>
          <w:bCs/>
          <w:color w:val="auto"/>
          <w:highlight w:val="none"/>
        </w:rPr>
        <w:t>注：本项目供应商具有的良好商业信誉是指：至投标截止时间前一个工作日，未在“信用中国”网站、中国政府采购网站被列入失信被执行人、重大税收违法案件当事人名单、政府采购严重违法失信行为记录名单，或在参加本次采购活动前被禁止在一定期限内参加政府采购活动，期限已届满。如相关失信记录已失效，投标人需提供相关证明资料。若因投标人为事业单位、团体组织、自然人等原因，在“信用中国”网站、中国政府采购网站未查询到信息的，视为未被列入失信记录。</w:t>
      </w:r>
    </w:p>
    <w:p>
      <w:pPr>
        <w:pStyle w:val="35"/>
        <w:rPr>
          <w:color w:val="auto"/>
          <w:highlight w:val="none"/>
        </w:rPr>
      </w:pPr>
      <w:r>
        <w:rPr>
          <w:rFonts w:hint="eastAsia"/>
          <w:color w:val="auto"/>
          <w:highlight w:val="none"/>
        </w:rPr>
        <w:t>2.投标人具有健全的财务会计制度的证明材料</w:t>
      </w:r>
    </w:p>
    <w:p>
      <w:pPr>
        <w:pStyle w:val="35"/>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5"/>
        <w:rPr>
          <w:color w:val="auto"/>
          <w:highlight w:val="none"/>
        </w:rPr>
      </w:pPr>
      <w:r>
        <w:rPr>
          <w:rFonts w:hint="eastAsia"/>
          <w:color w:val="auto"/>
          <w:highlight w:val="none"/>
        </w:rPr>
        <w:t>(2)投标人提供2020年度投标人内部的财务报表复印件(至少包含资产负债表)；</w:t>
      </w:r>
    </w:p>
    <w:p>
      <w:pPr>
        <w:pStyle w:val="35"/>
        <w:rPr>
          <w:color w:val="auto"/>
          <w:highlight w:val="none"/>
        </w:rPr>
      </w:pPr>
      <w:r>
        <w:rPr>
          <w:rFonts w:hint="eastAsia"/>
          <w:color w:val="auto"/>
          <w:highlight w:val="none"/>
        </w:rPr>
        <w:t>(3)投标人提供投标文件递交截止日前一年内银行为其出具的资信证明复印件；</w:t>
      </w:r>
    </w:p>
    <w:p>
      <w:pPr>
        <w:pStyle w:val="35"/>
        <w:rPr>
          <w:color w:val="auto"/>
          <w:highlight w:val="none"/>
        </w:rPr>
      </w:pPr>
      <w:r>
        <w:rPr>
          <w:rFonts w:hint="eastAsia"/>
          <w:color w:val="auto"/>
          <w:highlight w:val="none"/>
        </w:rPr>
        <w:t>(4)投标人注册时间截至投标文件递交截止日不足一年的，可提供公司章程复印件；</w:t>
      </w:r>
    </w:p>
    <w:p>
      <w:pPr>
        <w:pStyle w:val="35"/>
        <w:rPr>
          <w:color w:val="auto"/>
          <w:highlight w:val="none"/>
        </w:rPr>
      </w:pPr>
      <w:r>
        <w:rPr>
          <w:rFonts w:hint="eastAsia"/>
          <w:color w:val="auto"/>
          <w:highlight w:val="none"/>
        </w:rPr>
        <w:t>(5)提供具有健全的财务会计制度的承诺函。</w:t>
      </w:r>
    </w:p>
    <w:p>
      <w:pPr>
        <w:pStyle w:val="53"/>
        <w:ind w:firstLine="482"/>
        <w:rPr>
          <w:color w:val="auto"/>
          <w:highlight w:val="none"/>
        </w:rPr>
      </w:pPr>
      <w:r>
        <w:rPr>
          <w:rFonts w:hint="eastAsia"/>
          <w:bCs/>
          <w:color w:val="auto"/>
          <w:highlight w:val="none"/>
        </w:rPr>
        <w:t>注：具有健全的财务会计制度的证明材料中第(1)-(5)项具有同等的投标效力，投标人可根据自身实际情况选择提供其中任意一项。</w:t>
      </w:r>
    </w:p>
    <w:p>
      <w:pPr>
        <w:pStyle w:val="41"/>
        <w:numPr>
          <w:ilvl w:val="1"/>
          <w:numId w:val="25"/>
        </w:numPr>
        <w:ind w:firstLine="482"/>
        <w:rPr>
          <w:b/>
          <w:bCs/>
          <w:color w:val="auto"/>
          <w:highlight w:val="none"/>
        </w:rPr>
      </w:pPr>
      <w:r>
        <w:rPr>
          <w:rFonts w:hint="eastAsia"/>
          <w:b/>
          <w:bCs/>
          <w:color w:val="auto"/>
          <w:highlight w:val="none"/>
        </w:rPr>
        <w:t>投标人具有履行合同所必需的设备和专业技术能力证明材料；</w:t>
      </w:r>
    </w:p>
    <w:p>
      <w:pPr>
        <w:pStyle w:val="35"/>
        <w:rPr>
          <w:color w:val="auto"/>
          <w:highlight w:val="none"/>
        </w:rPr>
      </w:pPr>
      <w:r>
        <w:rPr>
          <w:rFonts w:hint="eastAsia"/>
          <w:color w:val="auto"/>
          <w:highlight w:val="none"/>
        </w:rPr>
        <w:t>提供具有履行合同所必需的设备和专业技术能力的承诺函。</w:t>
      </w:r>
    </w:p>
    <w:p>
      <w:pPr>
        <w:pStyle w:val="53"/>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41"/>
        <w:numPr>
          <w:ilvl w:val="1"/>
          <w:numId w:val="25"/>
        </w:numPr>
        <w:ind w:firstLine="482"/>
        <w:rPr>
          <w:b/>
          <w:bCs/>
          <w:color w:val="auto"/>
          <w:highlight w:val="none"/>
        </w:rPr>
      </w:pPr>
      <w:r>
        <w:rPr>
          <w:rFonts w:hint="eastAsia"/>
          <w:b/>
          <w:bCs/>
          <w:color w:val="auto"/>
          <w:highlight w:val="none"/>
        </w:rPr>
        <w:t>投标人具有依法缴纳税收和社会保障资金的良好记录的证明材料；</w:t>
      </w:r>
    </w:p>
    <w:p>
      <w:pPr>
        <w:pStyle w:val="35"/>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3"/>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41"/>
        <w:numPr>
          <w:ilvl w:val="1"/>
          <w:numId w:val="25"/>
        </w:numPr>
        <w:ind w:firstLine="482"/>
        <w:rPr>
          <w:b/>
          <w:bCs/>
          <w:color w:val="auto"/>
          <w:highlight w:val="none"/>
        </w:rPr>
      </w:pPr>
      <w:r>
        <w:rPr>
          <w:rFonts w:hint="eastAsia"/>
          <w:b/>
          <w:bCs/>
          <w:color w:val="auto"/>
          <w:highlight w:val="none"/>
        </w:rPr>
        <w:t>投标人参加政府采购活动前三年内，在经营活动中没有重大违法记录的证明材料；</w:t>
      </w:r>
    </w:p>
    <w:p>
      <w:pPr>
        <w:pStyle w:val="35"/>
        <w:rPr>
          <w:color w:val="auto"/>
          <w:highlight w:val="none"/>
        </w:rPr>
      </w:pPr>
      <w:r>
        <w:rPr>
          <w:rFonts w:hint="eastAsia"/>
          <w:color w:val="auto"/>
          <w:highlight w:val="none"/>
        </w:rPr>
        <w:t>提供参加本次政府采购活动前三年内，在经营活动中没有重大违法记录的书面声明(成立不足三年的，从成立之日起计算)。</w:t>
      </w:r>
    </w:p>
    <w:p>
      <w:pPr>
        <w:pStyle w:val="41"/>
        <w:numPr>
          <w:ilvl w:val="1"/>
          <w:numId w:val="25"/>
        </w:numPr>
        <w:ind w:firstLine="482"/>
        <w:rPr>
          <w:rFonts w:cs="宋体"/>
          <w:b/>
          <w:bCs/>
          <w:color w:val="auto"/>
          <w:highlight w:val="none"/>
        </w:rPr>
      </w:pPr>
      <w:r>
        <w:rPr>
          <w:rFonts w:hint="eastAsia"/>
          <w:b/>
          <w:bCs/>
          <w:color w:val="auto"/>
          <w:highlight w:val="none"/>
        </w:rPr>
        <w:t>投标</w:t>
      </w:r>
      <w:r>
        <w:rPr>
          <w:rFonts w:hint="eastAsia" w:cs="宋体"/>
          <w:b/>
          <w:bCs/>
          <w:color w:val="auto"/>
          <w:highlight w:val="none"/>
        </w:rPr>
        <w:t>人</w:t>
      </w:r>
      <w:r>
        <w:rPr>
          <w:rFonts w:hint="eastAsia" w:cs="宋体"/>
          <w:b/>
          <w:bCs/>
          <w:color w:val="auto"/>
          <w:highlight w:val="none"/>
          <w:lang w:val="zh-CN"/>
        </w:rPr>
        <w:t>及其现任法定代表人、主要负责人不得具有行贿犯罪记录</w:t>
      </w:r>
      <w:r>
        <w:rPr>
          <w:rFonts w:hint="eastAsia" w:cs="宋体"/>
          <w:b/>
          <w:bCs/>
          <w:color w:val="auto"/>
          <w:highlight w:val="none"/>
        </w:rPr>
        <w:t>的证明材料</w:t>
      </w:r>
      <w:r>
        <w:rPr>
          <w:rFonts w:hint="eastAsia" w:cs="宋体"/>
          <w:b/>
          <w:bCs/>
          <w:color w:val="auto"/>
          <w:highlight w:val="none"/>
          <w:lang w:val="zh-CN"/>
        </w:rPr>
        <w:t>；</w:t>
      </w:r>
    </w:p>
    <w:p>
      <w:pPr>
        <w:pStyle w:val="53"/>
        <w:jc w:val="both"/>
        <w:rPr>
          <w:b w:val="0"/>
          <w:bCs/>
          <w:color w:val="auto"/>
          <w:highlight w:val="none"/>
        </w:rPr>
      </w:pPr>
      <w:r>
        <w:rPr>
          <w:rFonts w:hint="eastAsia"/>
          <w:b w:val="0"/>
          <w:bCs/>
          <w:color w:val="auto"/>
          <w:highlight w:val="none"/>
        </w:rPr>
        <w:t>1.在投标文件中作出投标人及其现任法定代表人(姓名和身份证号码)、主要负责人(姓名和身份证号码)10年内(</w:t>
      </w:r>
      <w:r>
        <w:rPr>
          <w:rFonts w:hint="eastAsia"/>
          <w:b w:val="0"/>
          <w:bCs/>
          <w:color w:val="auto"/>
          <w:highlight w:val="none"/>
          <w:lang w:val="zh-CN"/>
        </w:rPr>
        <w:t>若</w:t>
      </w:r>
      <w:r>
        <w:rPr>
          <w:rFonts w:hint="eastAsia"/>
          <w:b w:val="0"/>
          <w:bCs/>
          <w:color w:val="auto"/>
          <w:highlight w:val="none"/>
        </w:rPr>
        <w:t>供应商</w:t>
      </w:r>
      <w:r>
        <w:rPr>
          <w:rFonts w:hint="eastAsia"/>
          <w:b w:val="0"/>
          <w:bCs/>
          <w:color w:val="auto"/>
          <w:highlight w:val="none"/>
          <w:lang w:val="zh-CN"/>
        </w:rPr>
        <w:t>成立不足10年的，</w:t>
      </w:r>
      <w:r>
        <w:rPr>
          <w:rFonts w:hint="eastAsia"/>
          <w:b w:val="0"/>
          <w:bCs/>
          <w:color w:val="auto"/>
          <w:highlight w:val="none"/>
        </w:rPr>
        <w:t>承诺期限为</w:t>
      </w:r>
      <w:r>
        <w:rPr>
          <w:rFonts w:hint="eastAsia"/>
          <w:b w:val="0"/>
          <w:bCs/>
          <w:color w:val="auto"/>
          <w:highlight w:val="none"/>
          <w:lang w:val="zh-CN"/>
        </w:rPr>
        <w:t>成立之日起</w:t>
      </w:r>
      <w:r>
        <w:rPr>
          <w:rFonts w:hint="eastAsia"/>
          <w:b w:val="0"/>
          <w:bCs/>
          <w:color w:val="auto"/>
          <w:highlight w:val="none"/>
        </w:rPr>
        <w:t>至今)无行贿犯罪记录的承诺；</w:t>
      </w:r>
    </w:p>
    <w:p>
      <w:pPr>
        <w:pStyle w:val="53"/>
        <w:jc w:val="both"/>
        <w:rPr>
          <w:b w:val="0"/>
          <w:bCs/>
          <w:color w:val="auto"/>
          <w:highlight w:val="none"/>
          <w:lang w:val="zh-CN"/>
        </w:rPr>
      </w:pPr>
      <w:r>
        <w:rPr>
          <w:rFonts w:hint="eastAsia"/>
          <w:b w:val="0"/>
          <w:bCs/>
          <w:color w:val="auto"/>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rPr>
        <w:t>。</w:t>
      </w:r>
    </w:p>
    <w:p>
      <w:pPr>
        <w:pStyle w:val="34"/>
        <w:numPr>
          <w:ilvl w:val="3"/>
          <w:numId w:val="0"/>
        </w:numPr>
        <w:ind w:firstLine="482" w:firstLineChars="200"/>
        <w:rPr>
          <w:b/>
          <w:bCs/>
          <w:color w:val="auto"/>
          <w:highlight w:val="none"/>
        </w:rPr>
      </w:pPr>
      <w:r>
        <w:rPr>
          <w:rFonts w:hint="eastAsia"/>
          <w:b/>
          <w:bCs/>
          <w:color w:val="auto"/>
          <w:highlight w:val="none"/>
        </w:rPr>
        <w:t>注：①投标人采用提供承诺函方式响应的，其内容必须符合上述第1款的要求，否则将视为无效承诺；②如投标人未提供有效承诺函，且未</w:t>
      </w:r>
      <w:r>
        <w:rPr>
          <w:rFonts w:hint="eastAsia"/>
          <w:b/>
          <w:color w:val="auto"/>
          <w:highlight w:val="none"/>
        </w:rPr>
        <w:t>在投标文件中书面载明</w:t>
      </w:r>
      <w:r>
        <w:rPr>
          <w:rFonts w:hint="eastAsia"/>
          <w:b/>
          <w:bCs/>
          <w:color w:val="auto"/>
          <w:highlight w:val="none"/>
        </w:rPr>
        <w:t>其“现任法定代表人”(姓名和身份证号码)、“主要负责人”(姓名和身份证号码)信息的，将被视为无效投标。</w:t>
      </w:r>
    </w:p>
    <w:p>
      <w:pPr>
        <w:pStyle w:val="41"/>
        <w:numPr>
          <w:ilvl w:val="1"/>
          <w:numId w:val="25"/>
        </w:numPr>
        <w:ind w:firstLine="482"/>
        <w:rPr>
          <w:b/>
          <w:bCs/>
          <w:color w:val="auto"/>
          <w:highlight w:val="none"/>
        </w:rPr>
      </w:pPr>
      <w:r>
        <w:rPr>
          <w:rFonts w:hint="eastAsia"/>
          <w:b/>
          <w:bCs/>
          <w:color w:val="auto"/>
          <w:highlight w:val="none"/>
        </w:rPr>
        <w:t>法定代表人/单位负责人授权书原件；</w:t>
      </w:r>
    </w:p>
    <w:p>
      <w:pPr>
        <w:pStyle w:val="53"/>
        <w:ind w:firstLine="482"/>
        <w:rPr>
          <w:color w:val="auto"/>
          <w:highlight w:val="none"/>
        </w:rPr>
      </w:pPr>
      <w:r>
        <w:rPr>
          <w:rFonts w:hint="eastAsia"/>
          <w:color w:val="auto"/>
          <w:highlight w:val="none"/>
        </w:rPr>
        <w:t>注：①附法定代表人/单位负责人和被授权人身份证正反面复印件；②法定代表人/单位负责人亲自参与投标时不需要提供。</w:t>
      </w:r>
    </w:p>
    <w:p>
      <w:pPr>
        <w:pStyle w:val="41"/>
        <w:numPr>
          <w:ilvl w:val="1"/>
          <w:numId w:val="25"/>
        </w:numPr>
        <w:ind w:firstLine="482"/>
        <w:rPr>
          <w:b/>
          <w:bCs/>
          <w:color w:val="auto"/>
          <w:highlight w:val="none"/>
        </w:rPr>
      </w:pPr>
      <w:r>
        <w:rPr>
          <w:rFonts w:hint="eastAsia"/>
          <w:b/>
          <w:bCs/>
          <w:color w:val="auto"/>
          <w:highlight w:val="none"/>
        </w:rPr>
        <w:t>法定代表人/单位负责人证明书；</w:t>
      </w:r>
    </w:p>
    <w:p>
      <w:pPr>
        <w:pStyle w:val="53"/>
        <w:ind w:firstLine="482"/>
        <w:rPr>
          <w:color w:val="auto"/>
          <w:highlight w:val="none"/>
        </w:rPr>
      </w:pPr>
      <w:r>
        <w:rPr>
          <w:rFonts w:hint="eastAsia"/>
          <w:color w:val="auto"/>
          <w:highlight w:val="none"/>
        </w:rPr>
        <w:t>注：①附法定代表人/单位负责人身份证正反面复印件；②法定代表人/单位负责人亲自参加投标时提供本证明书。</w:t>
      </w:r>
    </w:p>
    <w:p>
      <w:pPr>
        <w:pStyle w:val="41"/>
        <w:numPr>
          <w:ilvl w:val="1"/>
          <w:numId w:val="25"/>
        </w:numPr>
        <w:ind w:firstLine="482"/>
        <w:rPr>
          <w:b/>
          <w:bCs/>
          <w:color w:val="auto"/>
          <w:highlight w:val="none"/>
        </w:rPr>
      </w:pPr>
      <w:r>
        <w:rPr>
          <w:rFonts w:hint="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b/>
          <w:bCs/>
          <w:color w:val="auto"/>
          <w:highlight w:val="none"/>
        </w:rPr>
        <w:t>行政法</w:t>
      </w:r>
      <w:r>
        <w:rPr>
          <w:rFonts w:hint="eastAsia"/>
          <w:b/>
          <w:bCs/>
          <w:color w:val="auto"/>
          <w:highlight w:val="none"/>
        </w:rPr>
        <w:fldChar w:fldCharType="end"/>
      </w:r>
      <w:r>
        <w:rPr>
          <w:rFonts w:hint="eastAsia"/>
          <w:b/>
          <w:bCs/>
          <w:color w:val="auto"/>
          <w:highlight w:val="none"/>
        </w:rPr>
        <w:t>规规定的其他条件的证明材料；</w:t>
      </w:r>
    </w:p>
    <w:p>
      <w:pPr>
        <w:pStyle w:val="35"/>
        <w:rPr>
          <w:color w:val="auto"/>
          <w:highlight w:val="none"/>
        </w:rPr>
      </w:pPr>
      <w:r>
        <w:rPr>
          <w:rFonts w:hint="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规规定的其他条件的承诺函。</w:t>
      </w:r>
    </w:p>
    <w:p>
      <w:pPr>
        <w:pStyle w:val="42"/>
        <w:ind w:firstLine="482" w:firstLineChars="200"/>
        <w:rPr>
          <w:b/>
          <w:bCs/>
          <w:color w:val="auto"/>
          <w:highlight w:val="none"/>
          <w:lang w:val="zh-CN"/>
        </w:rPr>
      </w:pPr>
      <w:r>
        <w:rPr>
          <w:rFonts w:hint="eastAsia" w:cs="Times New Roman"/>
          <w:b/>
          <w:bCs/>
          <w:color w:val="auto"/>
          <w:highlight w:val="none"/>
        </w:rPr>
        <w:t>(十二)</w:t>
      </w:r>
      <w:r>
        <w:rPr>
          <w:rFonts w:hint="eastAsia"/>
          <w:b/>
          <w:bCs/>
          <w:color w:val="auto"/>
          <w:highlight w:val="none"/>
        </w:rPr>
        <w:t>根据采购项目的特殊要求，规定供应商的特定条件的证明材料；</w:t>
      </w:r>
    </w:p>
    <w:p>
      <w:pPr>
        <w:pStyle w:val="35"/>
        <w:rPr>
          <w:color w:val="auto"/>
          <w:highlight w:val="none"/>
        </w:rPr>
      </w:pPr>
      <w:r>
        <w:rPr>
          <w:rFonts w:hint="eastAsia"/>
          <w:bCs/>
          <w:color w:val="auto"/>
          <w:highlight w:val="none"/>
        </w:rPr>
        <w:t>提供未与其他投标供应商组成联合体参与本项目投标的承诺函。</w:t>
      </w:r>
    </w:p>
    <w:p>
      <w:pPr>
        <w:pStyle w:val="53"/>
        <w:ind w:firstLine="482"/>
        <w:rPr>
          <w:color w:val="auto"/>
          <w:highlight w:val="none"/>
        </w:rPr>
      </w:pPr>
      <w:r>
        <w:rPr>
          <w:rFonts w:hint="eastAsia"/>
          <w:color w:val="auto"/>
          <w:highlight w:val="none"/>
        </w:rPr>
        <w:t>备注：①以上承诺及声明函可参照第三章投标文件格式中相关格式或自拟格式填写均有效。</w:t>
      </w:r>
    </w:p>
    <w:p>
      <w:pPr>
        <w:pStyle w:val="53"/>
        <w:ind w:firstLine="482"/>
        <w:rPr>
          <w:color w:val="auto"/>
          <w:highlight w:val="none"/>
        </w:rPr>
      </w:pPr>
      <w:r>
        <w:rPr>
          <w:rFonts w:hint="eastAsia"/>
          <w:color w:val="auto"/>
          <w:highlight w:val="none"/>
        </w:rPr>
        <w:t>②以上要求提供的相关证明材料须加盖投标人电子签章，否则其资格审查作未通过处理。</w:t>
      </w:r>
    </w:p>
    <w:p>
      <w:pPr>
        <w:pStyle w:val="53"/>
        <w:ind w:firstLine="482"/>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3"/>
        <w:ind w:firstLine="482"/>
        <w:rPr>
          <w:color w:val="auto"/>
          <w:highlight w:val="none"/>
        </w:rPr>
      </w:pPr>
      <w:r>
        <w:rPr>
          <w:rFonts w:hint="eastAsia"/>
          <w:color w:val="auto"/>
          <w:highlight w:val="none"/>
        </w:rPr>
        <w:t>④投标人应对其所提供的资格证明材料来源的合法性、真实性承担法律责任。</w:t>
      </w:r>
    </w:p>
    <w:p>
      <w:pPr>
        <w:pStyle w:val="53"/>
        <w:ind w:firstLine="482"/>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32"/>
        <w:numPr>
          <w:ilvl w:val="1"/>
          <w:numId w:val="11"/>
        </w:numPr>
        <w:ind w:firstLine="482"/>
        <w:rPr>
          <w:color w:val="auto"/>
          <w:highlight w:val="none"/>
        </w:rPr>
      </w:pPr>
      <w:bookmarkStart w:id="993" w:name="_Toc31518"/>
      <w:bookmarkStart w:id="994" w:name="_Toc14213"/>
      <w:r>
        <w:rPr>
          <w:rFonts w:hint="eastAsia"/>
          <w:color w:val="auto"/>
          <w:highlight w:val="none"/>
        </w:rPr>
        <w:t>审查程序</w:t>
      </w:r>
      <w:bookmarkEnd w:id="989"/>
      <w:bookmarkEnd w:id="990"/>
      <w:bookmarkEnd w:id="991"/>
      <w:bookmarkEnd w:id="993"/>
      <w:bookmarkEnd w:id="994"/>
    </w:p>
    <w:p>
      <w:pPr>
        <w:pStyle w:val="41"/>
        <w:numPr>
          <w:ilvl w:val="1"/>
          <w:numId w:val="26"/>
        </w:numPr>
        <w:ind w:firstLine="480"/>
        <w:rPr>
          <w:color w:val="auto"/>
          <w:highlight w:val="none"/>
        </w:rPr>
      </w:pPr>
      <w:r>
        <w:rPr>
          <w:rFonts w:hint="eastAsia"/>
          <w:color w:val="auto"/>
          <w:highlight w:val="none"/>
        </w:rPr>
        <w:t>根据《政府采购货物和服务招标投标管理办法》(财政部令第87号)第四十四条对投标人的资格进行审查。</w:t>
      </w:r>
    </w:p>
    <w:p>
      <w:pPr>
        <w:pStyle w:val="41"/>
        <w:numPr>
          <w:ilvl w:val="1"/>
          <w:numId w:val="26"/>
        </w:numPr>
        <w:ind w:firstLine="480"/>
        <w:rPr>
          <w:color w:val="auto"/>
          <w:highlight w:val="none"/>
        </w:rPr>
      </w:pPr>
      <w:r>
        <w:rPr>
          <w:rFonts w:hint="eastAsia"/>
          <w:color w:val="auto"/>
          <w:highlight w:val="none"/>
        </w:rPr>
        <w:t>本项目由采购人或者采购代理机构依法对投标人的资格进行审查，并出具书面的资格性审查结果。</w:t>
      </w:r>
    </w:p>
    <w:p>
      <w:pPr>
        <w:pStyle w:val="41"/>
        <w:numPr>
          <w:ilvl w:val="1"/>
          <w:numId w:val="26"/>
        </w:numPr>
        <w:ind w:firstLine="480"/>
        <w:rPr>
          <w:color w:val="auto"/>
          <w:highlight w:val="none"/>
        </w:rPr>
      </w:pPr>
      <w:r>
        <w:rPr>
          <w:rFonts w:hint="eastAsia"/>
          <w:color w:val="auto"/>
          <w:highlight w:val="none"/>
        </w:rPr>
        <w:t>合格投标人不足3家的，不得评标，采购失败。</w:t>
      </w:r>
    </w:p>
    <w:p>
      <w:pPr>
        <w:pStyle w:val="41"/>
        <w:numPr>
          <w:ilvl w:val="1"/>
          <w:numId w:val="26"/>
        </w:numPr>
        <w:ind w:firstLine="480"/>
        <w:rPr>
          <w:color w:val="auto"/>
          <w:highlight w:val="none"/>
        </w:rPr>
      </w:pPr>
      <w:r>
        <w:rPr>
          <w:rFonts w:hint="eastAsia"/>
          <w:color w:val="auto"/>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41"/>
        <w:numPr>
          <w:ilvl w:val="1"/>
          <w:numId w:val="0"/>
        </w:numPr>
        <w:ind w:firstLine="482" w:firstLineChars="200"/>
        <w:rPr>
          <w:b/>
          <w:bCs/>
          <w:color w:val="auto"/>
          <w:highlight w:val="none"/>
        </w:rPr>
      </w:pPr>
      <w:r>
        <w:rPr>
          <w:rFonts w:hint="eastAsia"/>
          <w:b/>
          <w:bCs/>
          <w:color w:val="auto"/>
          <w:highlight w:val="none"/>
        </w:rPr>
        <w:t>注：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30"/>
        <w:numPr>
          <w:ilvl w:val="0"/>
          <w:numId w:val="11"/>
        </w:numPr>
        <w:spacing w:before="120" w:after="120"/>
        <w:rPr>
          <w:color w:val="auto"/>
          <w:highlight w:val="none"/>
        </w:rPr>
      </w:pPr>
      <w:r>
        <w:rPr>
          <w:rFonts w:hint="eastAsia"/>
          <w:color w:val="auto"/>
          <w:highlight w:val="none"/>
        </w:rPr>
        <w:br w:type="page"/>
      </w:r>
      <w:bookmarkEnd w:id="992"/>
      <w:bookmarkStart w:id="995" w:name="_Toc6631"/>
      <w:bookmarkStart w:id="996" w:name="_Toc14530"/>
      <w:bookmarkStart w:id="997" w:name="_Toc5955"/>
      <w:r>
        <w:rPr>
          <w:rFonts w:hint="eastAsia"/>
          <w:color w:val="auto"/>
          <w:highlight w:val="none"/>
        </w:rPr>
        <w:t>招标项目技术、服务、政府采购合同内容条款及其他商务要求</w:t>
      </w:r>
      <w:bookmarkEnd w:id="995"/>
      <w:bookmarkEnd w:id="996"/>
      <w:bookmarkEnd w:id="997"/>
    </w:p>
    <w:p>
      <w:pPr>
        <w:numPr>
          <w:ilvl w:val="1"/>
          <w:numId w:val="27"/>
        </w:numPr>
        <w:wordWrap w:val="0"/>
        <w:topLinePunct/>
        <w:ind w:firstLine="482" w:firstLineChars="200"/>
        <w:outlineLvl w:val="1"/>
        <w:rPr>
          <w:b/>
          <w:color w:val="auto"/>
          <w:highlight w:val="none"/>
        </w:rPr>
      </w:pPr>
      <w:bookmarkStart w:id="998" w:name="_Toc3922"/>
      <w:bookmarkStart w:id="999" w:name="_Toc12709"/>
      <w:bookmarkStart w:id="1000" w:name="_Toc30804"/>
      <w:bookmarkStart w:id="1001" w:name="_Toc6545"/>
      <w:bookmarkStart w:id="1002" w:name="_Toc28932"/>
      <w:bookmarkStart w:id="1003" w:name="_Toc27469"/>
      <w:bookmarkStart w:id="1004" w:name="_Toc1684"/>
      <w:bookmarkStart w:id="1005" w:name="_Toc1839"/>
      <w:bookmarkStart w:id="1006" w:name="_Toc307564899"/>
      <w:bookmarkStart w:id="1007" w:name="_Toc23360"/>
      <w:bookmarkStart w:id="1008" w:name="_Toc1541"/>
      <w:bookmarkStart w:id="1009" w:name="_Toc327196343"/>
      <w:bookmarkStart w:id="1010" w:name="_Toc307501157"/>
      <w:bookmarkStart w:id="1011" w:name="_Toc319440192"/>
      <w:bookmarkStart w:id="1012" w:name="_Toc29864"/>
      <w:bookmarkStart w:id="1013" w:name="_Toc217446099"/>
      <w:bookmarkStart w:id="1014" w:name="_Toc217446060"/>
      <w:bookmarkStart w:id="1015" w:name="_Toc12025"/>
      <w:bookmarkStart w:id="1016" w:name="_Toc309897566"/>
      <w:bookmarkStart w:id="1017" w:name="_Toc308188201"/>
      <w:bookmarkStart w:id="1018" w:name="_Toc308084648"/>
      <w:bookmarkStart w:id="1019" w:name="_Toc319439948"/>
      <w:bookmarkStart w:id="1020" w:name="_Toc32159"/>
      <w:r>
        <w:rPr>
          <w:rFonts w:hint="eastAsia"/>
          <w:b/>
          <w:color w:val="auto"/>
          <w:highlight w:val="none"/>
        </w:rPr>
        <w:t>项目概述</w:t>
      </w:r>
      <w:bookmarkEnd w:id="998"/>
      <w:bookmarkEnd w:id="999"/>
      <w:bookmarkEnd w:id="1000"/>
      <w:bookmarkEnd w:id="1001"/>
    </w:p>
    <w:p>
      <w:pPr>
        <w:wordWrap w:val="0"/>
        <w:topLinePunct/>
        <w:ind w:firstLine="480" w:firstLineChars="200"/>
        <w:rPr>
          <w:snapToGrid w:val="0"/>
          <w:color w:val="auto"/>
          <w:highlight w:val="none"/>
        </w:rPr>
      </w:pPr>
      <w:r>
        <w:rPr>
          <w:rFonts w:hint="eastAsia" w:cs="宋体"/>
          <w:color w:val="auto"/>
          <w:highlight w:val="none"/>
        </w:rPr>
        <w:t>为成都市技师学院人才联合培养实训室建设项目。引入企业新技术、新工艺、新标准，采购新能源汽车专业相关实习实训车辆、专用设备，新建新能源汽检测与维修实训室，打造高水平实训基地。</w:t>
      </w:r>
    </w:p>
    <w:p>
      <w:pPr>
        <w:numPr>
          <w:ilvl w:val="1"/>
          <w:numId w:val="27"/>
        </w:numPr>
        <w:wordWrap w:val="0"/>
        <w:topLinePunct/>
        <w:ind w:firstLine="482" w:firstLineChars="200"/>
        <w:outlineLvl w:val="1"/>
        <w:rPr>
          <w:b/>
          <w:color w:val="auto"/>
          <w:highlight w:val="none"/>
        </w:rPr>
      </w:pPr>
      <w:bookmarkStart w:id="1021" w:name="_Toc27695"/>
      <w:bookmarkStart w:id="1022" w:name="_Toc27001"/>
      <w:bookmarkStart w:id="1023" w:name="_Toc29669"/>
      <w:bookmarkStart w:id="1024" w:name="_Toc2567_WPSOffice_Level2"/>
      <w:bookmarkStart w:id="1025" w:name="_Toc23372"/>
      <w:bookmarkStart w:id="1026" w:name="_Toc25039"/>
      <w:r>
        <w:rPr>
          <w:rFonts w:hint="eastAsia"/>
          <w:b/>
          <w:color w:val="auto"/>
          <w:highlight w:val="none"/>
        </w:rPr>
        <w:t>采购标的</w:t>
      </w:r>
      <w:bookmarkEnd w:id="1021"/>
      <w:bookmarkEnd w:id="1022"/>
      <w:bookmarkEnd w:id="1023"/>
    </w:p>
    <w:tbl>
      <w:tblPr>
        <w:tblStyle w:val="24"/>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522"/>
        <w:gridCol w:w="817"/>
        <w:gridCol w:w="939"/>
        <w:gridCol w:w="1183"/>
        <w:gridCol w:w="1271"/>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55"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序号</w:t>
            </w:r>
          </w:p>
        </w:tc>
        <w:tc>
          <w:tcPr>
            <w:tcW w:w="1771"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采购设备名称</w:t>
            </w:r>
          </w:p>
        </w:tc>
        <w:tc>
          <w:tcPr>
            <w:tcW w:w="411"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数量</w:t>
            </w:r>
          </w:p>
        </w:tc>
        <w:tc>
          <w:tcPr>
            <w:tcW w:w="472"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单位</w:t>
            </w:r>
          </w:p>
        </w:tc>
        <w:tc>
          <w:tcPr>
            <w:tcW w:w="595"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是否是核心产品</w:t>
            </w:r>
          </w:p>
        </w:tc>
        <w:tc>
          <w:tcPr>
            <w:tcW w:w="639"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所属行业</w:t>
            </w:r>
          </w:p>
        </w:tc>
        <w:tc>
          <w:tcPr>
            <w:tcW w:w="653" w:type="pct"/>
            <w:vAlign w:val="center"/>
          </w:tcPr>
          <w:p>
            <w:pPr>
              <w:wordWrap w:val="0"/>
              <w:spacing w:line="360" w:lineRule="exact"/>
              <w:jc w:val="center"/>
              <w:rPr>
                <w:rFonts w:hint="default" w:eastAsia="宋体" w:cs="宋体"/>
                <w:b/>
                <w:bCs/>
                <w:color w:val="auto"/>
                <w:sz w:val="21"/>
                <w:szCs w:val="21"/>
                <w:highlight w:val="none"/>
                <w:lang w:val="en-US" w:eastAsia="zh-CN"/>
              </w:rPr>
            </w:pPr>
            <w:r>
              <w:rPr>
                <w:rFonts w:hint="eastAsia" w:cs="宋体"/>
                <w:b/>
                <w:bCs/>
                <w:color w:val="auto"/>
                <w:sz w:val="21"/>
                <w:szCs w:val="21"/>
                <w:highlight w:val="none"/>
              </w:rPr>
              <w:t>是否</w:t>
            </w:r>
            <w:r>
              <w:rPr>
                <w:rFonts w:hint="eastAsia" w:cs="宋体"/>
                <w:b/>
                <w:bCs/>
                <w:color w:val="auto"/>
                <w:sz w:val="21"/>
                <w:szCs w:val="21"/>
                <w:highlight w:val="none"/>
                <w:lang w:val="en-US" w:eastAsia="zh-CN"/>
              </w:rPr>
              <w:t>允许进口产品投标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教学用教具车</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辆</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2</w:t>
            </w:r>
          </w:p>
        </w:tc>
        <w:tc>
          <w:tcPr>
            <w:tcW w:w="1771"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整车故障设置平台和故障检测盒</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套</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3</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故障诊断仪</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4</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万用接线盒</w:t>
            </w:r>
          </w:p>
        </w:tc>
        <w:tc>
          <w:tcPr>
            <w:tcW w:w="411"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2</w:t>
            </w:r>
          </w:p>
        </w:tc>
        <w:tc>
          <w:tcPr>
            <w:tcW w:w="472"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盒</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5</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绝缘工作台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4</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张</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6</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新能源汽车动力总成拆装实训台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7</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动力蓄电池装调智能供应站</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8</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动力蓄电池分装调试工作站</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9</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充电装置装调智能供应站</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10</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充电装置分装调试工作站</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11</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高压系统三合一测试负载</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套</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12</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动力电池PACK装调与检测技术平台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13</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动力电池PACK装调与检测技术平台智能教学系统</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套</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软件和信息技术服务业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14</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纯电动汽车驱动系统装调与检测技术平台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15</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动力电池分容柜</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套</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16</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检测工具套装</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2</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套</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17</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新能源实训用整车</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辆</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18</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整车故障设置与检测连接平台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台</w:t>
            </w:r>
          </w:p>
        </w:tc>
        <w:tc>
          <w:tcPr>
            <w:tcW w:w="595"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是</w:t>
            </w: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19</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动力总成及电池智能教学平台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套</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20</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电池管理系统平台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21</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动力电机管理系统平台</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5" w:type="pct"/>
            <w:vAlign w:val="center"/>
          </w:tcPr>
          <w:p>
            <w:pPr>
              <w:widowControl/>
              <w:jc w:val="center"/>
              <w:textAlignment w:val="center"/>
              <w:rPr>
                <w:rFonts w:cs="宋体"/>
                <w:color w:val="auto"/>
                <w:sz w:val="21"/>
                <w:szCs w:val="21"/>
                <w:highlight w:val="none"/>
              </w:rPr>
            </w:pPr>
            <w:r>
              <w:rPr>
                <w:rFonts w:hint="eastAsia" w:cs="宋体"/>
                <w:color w:val="auto"/>
                <w:kern w:val="0"/>
                <w:sz w:val="21"/>
                <w:szCs w:val="21"/>
                <w:highlight w:val="none"/>
                <w:lang w:bidi="ar"/>
              </w:rPr>
              <w:t>22</w:t>
            </w:r>
          </w:p>
        </w:tc>
        <w:tc>
          <w:tcPr>
            <w:tcW w:w="1771" w:type="pct"/>
            <w:vAlign w:val="center"/>
          </w:tcPr>
          <w:p>
            <w:pPr>
              <w:wordWrap w:val="0"/>
              <w:spacing w:line="360" w:lineRule="exact"/>
              <w:jc w:val="center"/>
              <w:rPr>
                <w:rFonts w:cs="宋体"/>
                <w:color w:val="auto"/>
                <w:sz w:val="21"/>
                <w:szCs w:val="21"/>
                <w:highlight w:val="none"/>
              </w:rPr>
            </w:pPr>
            <w:r>
              <w:rPr>
                <w:rFonts w:hint="eastAsia" w:cs="宋体"/>
                <w:color w:val="auto"/>
                <w:kern w:val="0"/>
                <w:sz w:val="21"/>
                <w:szCs w:val="21"/>
                <w:highlight w:val="none"/>
              </w:rPr>
              <w:t>车辆控制器</w:t>
            </w:r>
          </w:p>
        </w:tc>
        <w:tc>
          <w:tcPr>
            <w:tcW w:w="411"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472"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595" w:type="pct"/>
            <w:vAlign w:val="center"/>
          </w:tcPr>
          <w:p>
            <w:pPr>
              <w:wordWrap w:val="0"/>
              <w:spacing w:line="360" w:lineRule="exact"/>
              <w:jc w:val="center"/>
              <w:rPr>
                <w:rFonts w:cs="宋体"/>
                <w:color w:val="auto"/>
                <w:sz w:val="21"/>
                <w:szCs w:val="21"/>
                <w:highlight w:val="none"/>
              </w:rPr>
            </w:pPr>
          </w:p>
        </w:tc>
        <w:tc>
          <w:tcPr>
            <w:tcW w:w="639" w:type="pct"/>
            <w:vAlign w:val="center"/>
          </w:tcPr>
          <w:p>
            <w:pPr>
              <w:wordWrap w:val="0"/>
              <w:spacing w:line="360" w:lineRule="exact"/>
              <w:jc w:val="center"/>
              <w:rPr>
                <w:rFonts w:cs="宋体"/>
                <w:color w:val="auto"/>
                <w:sz w:val="21"/>
                <w:szCs w:val="21"/>
                <w:highlight w:val="none"/>
              </w:rPr>
            </w:pPr>
            <w:r>
              <w:rPr>
                <w:rFonts w:hint="eastAsia" w:cs="宋体"/>
                <w:color w:val="auto"/>
                <w:sz w:val="21"/>
                <w:szCs w:val="21"/>
                <w:highlight w:val="none"/>
              </w:rPr>
              <w:t>工业</w:t>
            </w:r>
          </w:p>
        </w:tc>
        <w:tc>
          <w:tcPr>
            <w:tcW w:w="653" w:type="pct"/>
            <w:vAlign w:val="center"/>
          </w:tcPr>
          <w:p>
            <w:pPr>
              <w:wordWrap w:val="0"/>
              <w:spacing w:line="360" w:lineRule="exact"/>
              <w:jc w:val="center"/>
              <w:rPr>
                <w:rFonts w:cs="宋体"/>
                <w:color w:val="auto"/>
                <w:sz w:val="21"/>
                <w:szCs w:val="21"/>
                <w:highlight w:val="none"/>
              </w:rPr>
            </w:pPr>
            <w:r>
              <w:rPr>
                <w:rFonts w:hint="eastAsia" w:cs="宋体"/>
                <w:b/>
                <w:bCs/>
                <w:color w:val="auto"/>
                <w:sz w:val="21"/>
                <w:szCs w:val="21"/>
                <w:highlight w:val="none"/>
              </w:rPr>
              <w:t>否</w:t>
            </w:r>
          </w:p>
        </w:tc>
      </w:tr>
      <w:bookmarkEnd w:id="1024"/>
      <w:bookmarkEnd w:id="1025"/>
      <w:bookmarkEnd w:id="1026"/>
    </w:tbl>
    <w:p>
      <w:pPr>
        <w:numPr>
          <w:ilvl w:val="1"/>
          <w:numId w:val="27"/>
        </w:numPr>
        <w:wordWrap w:val="0"/>
        <w:topLinePunct/>
        <w:ind w:firstLine="482" w:firstLineChars="200"/>
        <w:outlineLvl w:val="1"/>
        <w:rPr>
          <w:b/>
          <w:color w:val="auto"/>
          <w:highlight w:val="none"/>
        </w:rPr>
      </w:pPr>
      <w:bookmarkStart w:id="1027" w:name="_Toc28613"/>
      <w:bookmarkStart w:id="1028" w:name="_Toc13773"/>
      <w:bookmarkStart w:id="1029" w:name="_Toc10009"/>
      <w:r>
        <w:rPr>
          <w:rFonts w:hint="eastAsia"/>
          <w:b/>
          <w:color w:val="auto"/>
          <w:highlight w:val="none"/>
        </w:rPr>
        <w:t>技术参数及功能要求</w:t>
      </w:r>
      <w:bookmarkEnd w:id="1027"/>
      <w:bookmarkEnd w:id="1028"/>
      <w:bookmarkEnd w:id="1029"/>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339"/>
        <w:gridCol w:w="7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0" w:type="pct"/>
            <w:noWrap/>
            <w:vAlign w:val="center"/>
          </w:tcPr>
          <w:p>
            <w:pPr>
              <w:wordWrap w:val="0"/>
              <w:spacing w:line="360" w:lineRule="exact"/>
              <w:jc w:val="center"/>
              <w:rPr>
                <w:rFonts w:cs="宋体"/>
                <w:b/>
                <w:bCs/>
                <w:color w:val="auto"/>
                <w:sz w:val="21"/>
                <w:szCs w:val="21"/>
                <w:highlight w:val="none"/>
              </w:rPr>
            </w:pPr>
            <w:bookmarkStart w:id="1030" w:name="_Toc22614"/>
            <w:bookmarkStart w:id="1031" w:name="_Toc31614"/>
            <w:bookmarkStart w:id="1032" w:name="_Toc9683"/>
            <w:bookmarkStart w:id="1033" w:name="_Toc12739"/>
            <w:bookmarkStart w:id="1034" w:name="_Toc27497"/>
            <w:bookmarkStart w:id="1035" w:name="_Toc8752_WPSOffice_Level2"/>
            <w:bookmarkStart w:id="1036" w:name="_Toc7101"/>
            <w:bookmarkStart w:id="1037" w:name="_Toc6974"/>
            <w:r>
              <w:rPr>
                <w:rFonts w:hint="eastAsia" w:cs="宋体"/>
                <w:b/>
                <w:bCs/>
                <w:color w:val="auto"/>
                <w:sz w:val="21"/>
                <w:szCs w:val="21"/>
                <w:highlight w:val="none"/>
              </w:rPr>
              <w:t>序号</w:t>
            </w:r>
          </w:p>
        </w:tc>
        <w:tc>
          <w:tcPr>
            <w:tcW w:w="673"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货品名称</w:t>
            </w:r>
          </w:p>
        </w:tc>
        <w:tc>
          <w:tcPr>
            <w:tcW w:w="4005" w:type="pct"/>
            <w:vAlign w:val="center"/>
          </w:tcPr>
          <w:p>
            <w:pPr>
              <w:wordWrap w:val="0"/>
              <w:spacing w:line="360" w:lineRule="exact"/>
              <w:jc w:val="center"/>
              <w:rPr>
                <w:rFonts w:cs="宋体"/>
                <w:b/>
                <w:bCs/>
                <w:color w:val="auto"/>
                <w:sz w:val="21"/>
                <w:szCs w:val="21"/>
                <w:highlight w:val="none"/>
              </w:rPr>
            </w:pPr>
            <w:r>
              <w:rPr>
                <w:rFonts w:hint="eastAsia" w:cs="宋体"/>
                <w:b/>
                <w:bCs/>
                <w:color w:val="auto"/>
                <w:sz w:val="21"/>
                <w:szCs w:val="21"/>
                <w:highlight w:val="none"/>
              </w:rPr>
              <w:t>技术参数及功能要求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教学用教具车</w:t>
            </w:r>
          </w:p>
        </w:tc>
        <w:tc>
          <w:tcPr>
            <w:tcW w:w="4005" w:type="pct"/>
            <w:vAlign w:val="center"/>
          </w:tcPr>
          <w:p>
            <w:pPr>
              <w:numPr>
                <w:ilvl w:val="0"/>
                <w:numId w:val="28"/>
              </w:numPr>
              <w:wordWrap w:val="0"/>
              <w:spacing w:line="360" w:lineRule="exact"/>
              <w:rPr>
                <w:rFonts w:cs="宋体"/>
                <w:color w:val="auto"/>
                <w:kern w:val="0"/>
                <w:sz w:val="21"/>
                <w:szCs w:val="21"/>
                <w:highlight w:val="none"/>
              </w:rPr>
            </w:pPr>
            <w:bookmarkStart w:id="1038" w:name="RANGE!E2"/>
            <w:r>
              <w:rPr>
                <w:rFonts w:hint="eastAsia" w:cs="宋体"/>
                <w:color w:val="auto"/>
                <w:kern w:val="0"/>
                <w:sz w:val="21"/>
                <w:szCs w:val="21"/>
                <w:highlight w:val="none"/>
              </w:rPr>
              <w:t>★续航里程：≥500km；电池容量：≥84KWh；电机功率：≥140KW；最大扭矩：≥300N.m；车辆尺寸：≥长4590mm×宽1850mm×高1620mm，5门5座；轴距：≥2760mm；电池类型：三元锂电池；电机类型：永磁同步电机；变速箱：固定齿比变速箱；承载式车体结构、主/副驾驶座安全气囊、前侧气囊、前后头部气帘、胎压监测、天窗</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keepNext/>
              <w:keepLines/>
              <w:numPr>
                <w:ilvl w:val="0"/>
                <w:numId w:val="28"/>
              </w:numPr>
              <w:spacing w:line="360" w:lineRule="exact"/>
              <w:rPr>
                <w:rFonts w:cs="宋体"/>
                <w:color w:val="auto"/>
                <w:sz w:val="21"/>
                <w:szCs w:val="21"/>
                <w:highlight w:val="none"/>
              </w:rPr>
            </w:pPr>
            <w:r>
              <w:rPr>
                <w:rFonts w:hint="eastAsia" w:cs="宋体"/>
                <w:bCs/>
                <w:color w:val="auto"/>
                <w:sz w:val="21"/>
                <w:szCs w:val="21"/>
                <w:highlight w:val="none"/>
              </w:rPr>
              <w:t>驾驶辅助系统至少包含：车道偏离预警系统、车保保持辅助系统、道路交通标示识别、主动刹车/主动安全系统、全速自适应巡航系统、自动驻车等。具备高压配电保护、继电器状态检测保护、预充电检测和主动放电安全管理、绝缘检测安全管理、碰撞安全管理、物理隔离保护等保护策略。车辆配备原厂电池管理系统、电机控制器、交流充电单元、无钥匙进入系统、车身控制系统等低压线束连接器无损对插转接盒及适配线束，可实现车辆被测系统与整车故障设置平台和故障检测盒的快速连接。</w:t>
            </w:r>
            <w:bookmarkEnd w:id="10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2</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整车故障设置平台和故障检测盒</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该设备配套本项目的“教学用教具车”使用，基于原车型电路开发。检测盒与车辆进行无损连接后，可实现与车辆电池管理系统、电机控制器、交流充电单元、无钥匙进入系统、车身控制系统、车身电气系统，网关，车门电脑的无损连接，进行原车配套的检测与维修。检测盒便于教师设故和学生实时在线信号测量，可根据教学实际需求选用，检测盒故障点≥200路，可以设置断路、短路、虚接等故障，并可任意组合复合故障满足不同的教学需求标准。整车故障设置平台和故障检测盒以整车为基础，在不破坏原车电路情况下，可以串联在控制模块和原车线束之间。整车各控制系统、传感器、执行器功能齐全，可正常运行</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整车故障设置平台和故障检测盒一盒多用，既可以作为教师故障考核设置终端，也可以作为学生信号测量终端。支持车辆电池管理系统、电机控制器、交流充电单元、无钥匙进入系统、车身控制系统、车身电气系统，网关，车门电脑部分的信号测量与故障设置。通过与原车插头配套的线束插接器连接检测盒，可实现整车教学、实训、考核要求。检测盒背部设置机械故障终端，用隐藏式机械故障设置系统，通过U型连接端子可设置断路、短路、偶发、接触不良、CAN线反接故障。能模拟系统发生故障时的各种现象，提高故障判断能力，有效保护设备。检测盒前面部分可直接用万用表、示波器在面板上实时测量电压、电流、电阻、频率、波形信号等。检测盒单针脚采用双测量点设计方式，帮助在故障诊断过程中，判断元件端故障或是控制单元端故障。检测盒设计航空插头，可无损与车辆快速进行连接。通过更换配套线束和检测面板，可实现整车不同部位，不同模块的故障设置、检测、排除功能。避免重复测量导致的线路损耗，检测端子与相关检测仪表、接线盒端子完全配套。</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检测盒用4mm厚耐腐蚀、耐创击、耐污染、防火、防潮的高级铝塑板为基底，检测盒框架用40mm×40mm一体化全铝合金型材搭建，耐油耐腐蚀并易于清洁。检测盒外形尺寸：≥长920mm×宽600mm×高270mm。设备电源：DC12V。工作温度：-40℃～+50℃。</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配套教学资源，至少包含：动力电池、驱动电机、高压系统能源管理、高压系统检测与维修系统4个方面的学习任务知识点；其中动力电池、驱动电机≥20个课程学习任务知识点，高压系统能源管理、高压系统检测与维修系统≥15个课程学习任务知识点</w:t>
            </w:r>
            <w:r>
              <w:rPr>
                <w:rFonts w:hint="eastAsia" w:cs="宋体"/>
                <w:b/>
                <w:bCs/>
                <w:color w:val="auto"/>
                <w:kern w:val="0"/>
                <w:sz w:val="21"/>
                <w:szCs w:val="21"/>
                <w:highlight w:val="none"/>
              </w:rPr>
              <w:t>(说明：投标人提供动力电池、驱动电机、高压系统能源管理、高压系统检测与维修系统4个方面的学习任务知识点的目录)。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3</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故障诊断仪</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配有专业诊断软件ODIS，配套有诊断系统及诊断接头。支持读故障码、清故障码、读数据流、动作测试、特殊功能、匹配、编程等诊断功能。</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系统参数：屏幕尺寸≥13英寸，内存≥8GB RAM，硬盘≥256GB SSD，CPU满足或优于i7，操作系统：Windows 10，包含蓝牙功能。电源：≥45WH</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4</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万用接线盒</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包含不少于10种规格的“T”型线，能满足整车故障设置平台和故障检测盒的所有保险丝、继电器、元器件插接测量之用，要有足够的通流能力和可重复插接使用能力。</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至少包含：(1)黑色护套夹子延长线，L=2M(黑色)；(2)红色护套夹子延长线，L=2M(红色)；(3)端子对全包式鳄鱼夹，L=220mm(红色)；(4)端子对全包式鳄夹，L=220mm(黑色)；(5)热缩套管端子对全包式鳄鱼夹，L=220mm(红色)；(6)热缩套管端子对全包式鳄鱼夹，L=220mm(黑色)；(7)红色全包式∅2.0测试探针；(8)黑色全包式∅2.0测试探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5</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绝缘工作台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工作台配2层抽屉，尺寸：≥长1500mm×宽750mm×高850mm。桌面采用防静电材料，台面厚度≥40mm，表面≥2mm厚高分子材料，具有耐酸碱、耐油、耐磨，使用高压成型纤维板。桌腿及拉杆采用≥2.0mm厚宝钢一级冷轧板，经剪冲后折弯焊接成型，表面脱脂磷化后静电喷塑，表面光滑细腻，具有防锈、抗氧化等特殊作用。</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每个工作台配置50个201不锈钢质H型四脚单环凳，凳面直径≥29cm，厚度≥1.5cm，高度≥50cm。</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参考图片(仅供参考)：</w:t>
            </w:r>
          </w:p>
          <w:p>
            <w:pPr>
              <w:wordWrap w:val="0"/>
              <w:spacing w:line="240" w:lineRule="auto"/>
              <w:rPr>
                <w:rFonts w:cs="宋体"/>
                <w:color w:val="auto"/>
                <w:kern w:val="0"/>
                <w:sz w:val="21"/>
                <w:szCs w:val="21"/>
                <w:highlight w:val="none"/>
              </w:rPr>
            </w:pPr>
            <w:r>
              <w:rPr>
                <w:rFonts w:hint="eastAsia" w:cs="宋体"/>
                <w:color w:val="auto"/>
                <w:kern w:val="0"/>
                <w:sz w:val="21"/>
                <w:szCs w:val="21"/>
                <w:highlight w:val="none"/>
              </w:rPr>
              <w:drawing>
                <wp:inline distT="0" distB="0" distL="0" distR="0">
                  <wp:extent cx="1304925" cy="1247140"/>
                  <wp:effectExtent l="0" t="0" r="0" b="0"/>
                  <wp:docPr id="15" name="图片 15" descr="C:\Users\Administrator\AppData\Roaming\Tencent\Users\80810046\QQ\WinTemp\RichOle\%G8}SC0FDG8`$X5R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80810046\QQ\WinTemp\RichOle\%G8}SC0FDG8`$X5RX{()~EN.png"/>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6333" b="95000" l="4459" r="93631">
                                        <a14:foregroundMark x1="4459" y1="56667" x2="4459" y2="0"/>
                                        <a14:foregroundMark x1="6051" y1="67000" x2="6051" y2="0"/>
                                        <a14:foregroundMark x1="5732" y1="61667" x2="93949" y2="0"/>
                                        <a14:foregroundMark x1="93312" y1="69000" x2="93312" y2="0"/>
                                        <a14:foregroundMark x1="72930" y1="70000" x2="72930" y2="0"/>
                                        <a14:foregroundMark x1="61783" y1="65333" x2="61783" y2="0"/>
                                        <a14:foregroundMark x1="79618" y1="73333" x2="79618" y2="0"/>
                                        <a14:foregroundMark x1="58599" y1="68000" x2="85987" y2="0"/>
                                        <a14:foregroundMark x1="92357" y1="85667" x2="92357" y2="0"/>
                                        <a14:foregroundMark x1="92038" y1="95000" x2="92038" y2="0"/>
                                        <a14:foregroundMark x1="86943" y1="81333" x2="86943" y2="0"/>
                                        <a14:foregroundMark x1="85032" y1="81000" x2="85032" y2="0"/>
                                        <a14:foregroundMark x1="86624" y1="83000" x2="86624" y2="0"/>
                                        <a14:foregroundMark x1="14650" y1="6333" x2="80892" y2="0"/>
                                        <a14:foregroundMark x1="93312" y1="77333" x2="92357" y2="0"/>
                                        <a14:foregroundMark x1="68471" y1="80667" x2="68471" y2="0"/>
                                        <a14:foregroundMark x1="83121" y1="80000" x2="69427" y2="0"/>
                                        <a14:foregroundMark x1="81210" y1="78333" x2="81210" y2="0"/>
                                        <a14:foregroundMark x1="21656" y1="81333" x2="70382" y2="0"/>
                                        <a14:foregroundMark x1="17197" y1="79000" x2="17197" y2="0"/>
                                        <a14:foregroundMark x1="16242" y1="77000" x2="16242" y2="0"/>
                                        <a14:foregroundMark x1="78662" y1="78333" x2="78662" y2="0"/>
                                        <a14:foregroundMark x1="77707" y1="40333" x2="77707" y2="0"/>
                                        <a14:foregroundMark x1="78344" y1="38333" x2="78344" y2="0"/>
                                        <a14:foregroundMark x1="80255" y1="42667" x2="80255" y2="0"/>
                                        <a14:foregroundMark x1="76115" y1="40000" x2="76115" y2="0"/>
                                        <a14:backgroundMark x1="26752" y1="49333" x2="26752" y2="0"/>
                                      </a14:backgroundRemoval>
                                    </a14:imgEffect>
                                  </a14:imgLayer>
                                </a14:imgProps>
                              </a:ext>
                              <a:ext uri="{28A0092B-C50C-407E-A947-70E740481C1C}">
                                <a14:useLocalDpi xmlns:a14="http://schemas.microsoft.com/office/drawing/2010/main" val="0"/>
                              </a:ext>
                            </a:extLst>
                          </a:blip>
                          <a:srcRect/>
                          <a:stretch>
                            <a:fillRect/>
                          </a:stretch>
                        </pic:blipFill>
                        <pic:spPr>
                          <a:xfrm>
                            <a:off x="0" y="0"/>
                            <a:ext cx="1304925" cy="1247748"/>
                          </a:xfrm>
                          <a:prstGeom prst="rect">
                            <a:avLst/>
                          </a:prstGeom>
                          <a:noFill/>
                          <a:ln>
                            <a:noFill/>
                          </a:ln>
                        </pic:spPr>
                      </pic:pic>
                    </a:graphicData>
                  </a:graphic>
                </wp:inline>
              </w:drawing>
            </w:r>
            <w:r>
              <w:rPr>
                <w:rFonts w:hint="eastAsia" w:cs="宋体"/>
                <w:color w:val="auto"/>
                <w:kern w:val="0"/>
                <w:sz w:val="21"/>
                <w:szCs w:val="21"/>
                <w:highlight w:val="none"/>
              </w:rPr>
              <w:drawing>
                <wp:inline distT="0" distB="0" distL="0" distR="0">
                  <wp:extent cx="1188085" cy="1247775"/>
                  <wp:effectExtent l="0" t="0" r="12065" b="9525"/>
                  <wp:docPr id="16" name="图片 16" descr="C:\Users\Administrator\Documents\Tencent Files\80810046\FileRecv\MobileFile\Image\E3~14}5%EP44GMZ`7~5}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Tencent Files\80810046\FileRecv\MobileFile\Image\E3~14}5%EP44GMZ`7~5}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90625" cy="125002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6</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新能源汽车动力总成拆装实训台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平台采用钢质材料，加重阻尼脚轮，可承受不低于1.2吨的有效载荷。拆装台外观尺寸：≥长2000mm×宽1070mm×高1270mm。桌面平铺≥5mm厚度绝缘垫。具备电机与变速箱分离丝杆机构、电机定转子分离机构、变速箱360°任意翻转机构以及包括差速器轴承分离等拆装检测工装，能实现电机与变速器、变速器各齿轮、差速器轴承等分离、清洁、检测、装配。电动机与变速器分离不需要吊装操作。</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★平台包含动力总成拆装实训模块，装备电动机为三相永磁同步电机，电动机输出扭矩≥300N.m，额定扭矩≥160N.m，输入功率≥160kW，额定功率≥80kW，输出转速≥12000rpm，变速器为单挡固定齿比变速器</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平台包含多功能信息采集检测板，装有电机低压控制信号输入及输出插头，插头采用新能源原车低压信号插头，能实现对旋变传感器、高低压线束拆检。装有低压通讯线缆插座，通过配套低压通信线束完成设备动力电源模块与多功能信息采集检测板之间的低压线路装配与连接。配套有电机旋变信号和定子温度信号检测点，具备信号波形、阻值等进行诊断与分析的功能。平台包含设备动力电源模块，模块结构选用坚固冷轧钢板，具有外接电源端口，采用单相AC220V电源供电，同时控制柜内预留电池供电空间，可实现电机模块的单独运行。</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可进行永磁同步电机与变速器的分离、永磁同步电机与变速器的组装、输入轴齿轮的分离、输入轴齿轮的装配、副轴齿轮的分离、副轴齿轮的装配、差速器齿轮的分离、差速器齿轮的装配、齿轮组磨损状况、电机定转分离与安装、电机定转子的检测、副轴与差速器工作数据的检测实训项目。配套新能源汽车动力总成虚拟拆装与检测软件1套</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7</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动力蓄电池装调智能供应站</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设备整体尺寸：≥长1010mm×宽420mm×高1568mm，一层抽屉尺寸：≥长640mm×宽300mm×高80mm，二层抽屉尺寸：≥长640mm×宽300mm×高95mm，三层抽屉尺寸：≥长640mm×宽300mm×高9mm，四层抽屉尺寸：≥长640mm×宽300mm×高200mm，垫板尺寸：≥760mm×410mm×12mm。物料智能管理系统输入电源：220VAC；显示屏：≥9英寸；扫描频率：≥915M。</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w:t>
            </w:r>
            <w:r>
              <w:rPr>
                <w:rFonts w:hint="eastAsia" w:cs="宋体"/>
                <w:color w:val="auto"/>
                <w:sz w:val="21"/>
                <w:szCs w:val="21"/>
                <w:highlight w:val="none"/>
              </w:rPr>
              <w:t>动力蓄电池装调智能供应站与“动力蓄电池分装调试工作站”配套使用，具备动力蓄电池装配物料收纳、取用和智能管理。</w:t>
            </w:r>
            <w:r>
              <w:rPr>
                <w:rFonts w:hint="eastAsia" w:cs="宋体"/>
                <w:color w:val="auto"/>
                <w:sz w:val="21"/>
                <w:szCs w:val="21"/>
                <w:highlight w:val="none"/>
              </w:rPr>
              <w:br w:type="page"/>
            </w:r>
            <w:r>
              <w:rPr>
                <w:rFonts w:hint="eastAsia" w:cs="宋体"/>
                <w:color w:val="auto"/>
                <w:kern w:val="0"/>
                <w:sz w:val="21"/>
                <w:szCs w:val="21"/>
                <w:highlight w:val="none"/>
              </w:rPr>
              <w:t>满足动力蓄电池装调使用物料的供给货位，单体电芯、接触器、预充电阻、模块支架组件、高低压线束、直流、交流快速接口、BMS模块、车载充电机、高压线缆</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sz w:val="21"/>
                <w:szCs w:val="21"/>
                <w:highlight w:val="none"/>
              </w:rPr>
              <w:t>配置电池内阻电压表1个(要求：电阻分辨率:0.1mΩ，电压测量精度;100mV，电压测量范围;0-100V，内阻测量范围;1mΩ-199.9 mΩ)，气密性检测仪器1个(要求：进行PACK气密性、冷却系统气密性等进行检测)、绝缘电阻测试仪1个(要求：绝缘电阻测量：50V/200MΩ；100V/500MΩ；250V2000MΩ；500V/5 GΩ；1000V/10GΩ；1500V/20GΩ；2000V/50GΩ；2500V/100GΩ；电压测量:直流电压：DC0V-±1000V；交流电压：AC30V-750V；短路电流:约1.3mA)、接地电阻测试仪1个(要求：接地电阻测量范围:0-2000Ω，接地电压测量范围：0-200V)、新能源绝缘工具套装1个(要求：工具材质：合金工具钢，耐电压：10KV，制式：公制)、扭力扳手1个。可对单体电池内阻值、单体电池电压值、动力蓄电池绝缘电阻值、动力蓄电池接地电压值、动力蓄电池电压值、PACK气密性、冷却系统气密性等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8</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动力蓄电池分装调试工作站</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此工作站可以与“充电装置分装调试工作站”联动测试，并且可以作为动力蓄电池性能试验中心站的试验负载。动力蓄电池包含单体电池、电池模组、电流传感器、温度传感器、主正继电器、主负继电器、预充继电器、充电继电器、预充电阻、高压维修开关、快充连接器、慢充连接器、低压接插件、车载充电机检测、直流充电接口、交流充电接口、冷却系统接口。其中单体电池：电压：≥3.2V、容量：≥40AH、类型：磷酸铁锂；温度传感器：常温电阻值：≥1000Ω、工作温度范围：-40℃～85℃、储存温度范围：-40℃～125℃、工作湿度范围(%)：0～95%、温度检测精度：±1℃、端子形式：螺栓接线端子；预充电阻：电阻阻值：≥100Ω、电阻功率：≥100W、电阻器类别：绕线式电阻器、封装材料：工业铝材、引出接线：铁氟龙高温线。</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设备主体采用整体结构设计，主体外壳采用≥1.5mm厚冷轧板，尺寸：≥长1700mm×宽740mm×高1568mm，配置带锁止功能的万向静音脚轮。配有工具架挂钩、便于工具零部件的收纳与取用，顶部配有磁吸式便携工作智能感应灯。平台能实现动力蓄电池的装配与调试、单体电池的装配与测量、电池模组的分装与测量、直流充电接口的装配与测量、交流充电接口的装配与测量。</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动力蓄电池分装调试工作站台面分有不同的功能区域，分别是电池焊接工作区、动力蓄电池分装调试工作区、动力蓄电池通电调试区。工作站配有点焊机，至少包括：焊头、工作台、操作与显示系统、气压表、气管接头、电源接头、低压连接器、电源开关。点焊机主体采用整体结构设计，主体外壳采用≥1.5mm厚冷轧板，经酸洗、喷塑、丝印。点焊机：输入电压：220V/50Hz(60Hz)；输入电流：30A；输入气源：压缩空气气压7～8Bar；输出电压：5.5V；输出功率：12KVA；输出瞬间电流：1800A；放电时间：最长20ms/周波；行程：≥85mm。</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BMS电池管理系统：工作电压范围：DC5～40V；单体电池电压检测范围：0～5V；单只电池电压采样精度：≤5mV；单体电池电压采样频率：≤100ms；总电压检测精度：≤1%；温度测量范围：-40～125℃；温度检测精度：±1℃；电流检测范围：≤75A。车载充电机：规格型号：75V 10A；输入电压：≥220VAC；工作频率：50/60Hz；CC、CP功能：有；输出电压：≥75VDC；输出电流：≤10A；输出功率：≥800W；稳压精度：≤1%；稳流精度：≤1%；电压纹波(P-P)：≤1%；工作效率：≥0.93；输入过压保护值：高于260VAC保护性关机；输入欠压保护值：低于176VAC不启动；过温保护值：高于80℃保护关机，低于60℃后可自恢复；输出过压保护：≥80Vdc；输出过流保护≥12A；输出欠压保护：蓄电池组电压低于10V不启动；输出短路保护：短路后恒流，解除后自恢复；输出反接保护：反接后不启动，解除后自恢复；绝缘电阻，输入对输出DC1000V≥100MΩ；输入对机壳 DC1000V≥100MΩ；输出对机壳 DC1000V≥100MΩ；通讯CAN 2.0；辅助电源≤12V3A；散热方式：风冷；防护等级：IP65；接插件：航空插头；工作噪音≤60dB。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9</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充电装置装调智能供应站</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满足充电装置装调所需装配物料及调试仪器工具的供给，便于实训过程中物料与工具的收纳、取用和智能管理。可对充电装置的电源模块、输入交流接触器、电度表、启动开关、交流充电枪插座、交流充电枪防水接头、接地电阻检测、绝缘电阻检测、直流充电桩主回路线束连接等进行检测。</w:t>
            </w:r>
            <w:r>
              <w:rPr>
                <w:rFonts w:hint="eastAsia" w:cs="宋体"/>
                <w:color w:val="auto"/>
                <w:sz w:val="21"/>
                <w:szCs w:val="21"/>
                <w:highlight w:val="none"/>
              </w:rPr>
              <w:t>设备主体采用整体结构设计，主体外壳采用≥1.5mm厚冷轧板，</w:t>
            </w:r>
            <w:r>
              <w:rPr>
                <w:rFonts w:hint="eastAsia" w:cs="宋体"/>
                <w:color w:val="auto"/>
                <w:kern w:val="0"/>
                <w:sz w:val="21"/>
                <w:szCs w:val="21"/>
                <w:highlight w:val="none"/>
              </w:rPr>
              <w:t>整体尺寸：≥长1010mm×宽420mm×高1568mm；一层抽屉尺寸：≥长640mm×宽300mm×高80mm；二层抽屉尺寸：≥长640mm×宽300mm×高95mm；三层抽屉尺寸：≥长640mm×宽300mm×高95mm；四层抽屉尺寸：≥长640mm×宽300mm×高200mm；垫板尺寸：≥760mm×410mm×12mm。</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w:t>
            </w:r>
            <w:r>
              <w:rPr>
                <w:rFonts w:hint="eastAsia" w:cs="宋体"/>
                <w:color w:val="auto"/>
                <w:sz w:val="21"/>
                <w:szCs w:val="21"/>
                <w:highlight w:val="none"/>
              </w:rPr>
              <w:t>配有绝缘工具套装1个(要求：工具材质：合金工具钢；耐电压：10KV；制式：公制)、电池内阻电压表1个(要求：电阻分辨率:0.1mΩ；电压测量精度;100mV；电压测量范围;0-100V；内阻测量范围;1mΩ-199.9 mΩ)，绝缘电阻测试仪1个(要求：绝缘电阻测量：50V/200MΩ；100V/500MΩ；250V2000MΩ；500V/5 GΩ；1000V/10GΩ；1500V/20GΩ；2000V/50GΩ；2500V/100GΩ；电压测量:直流电压：DC0V-±1000V；交流电压：AC30V-750V；短路电流:约1.3mA)，接地电阻测试仪(要求：接地电阻测量范围:0-2000Ω；接地电压测量范围：0-200V)。</w:t>
            </w:r>
            <w:r>
              <w:rPr>
                <w:rFonts w:hint="eastAsia" w:cs="宋体"/>
                <w:color w:val="auto"/>
                <w:kern w:val="0"/>
                <w:sz w:val="21"/>
                <w:szCs w:val="21"/>
                <w:highlight w:val="none"/>
              </w:rPr>
              <w:t>物料智能管理系统输入电源：220V AC，显示屏：≥9英寸，扫描频率：915M</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sz w:val="21"/>
                <w:szCs w:val="21"/>
                <w:highlight w:val="none"/>
              </w:rPr>
            </w:pPr>
            <w:r>
              <w:rPr>
                <w:rFonts w:hint="eastAsia" w:cs="宋体"/>
                <w:b/>
                <w:color w:val="auto"/>
                <w:sz w:val="21"/>
                <w:szCs w:val="21"/>
                <w:highlight w:val="none"/>
              </w:rPr>
              <w:t>▲</w:t>
            </w:r>
            <w:r>
              <w:rPr>
                <w:rFonts w:hint="eastAsia" w:cs="宋体"/>
                <w:color w:val="auto"/>
                <w:sz w:val="21"/>
                <w:szCs w:val="21"/>
                <w:highlight w:val="none"/>
              </w:rPr>
              <w:t>DC控制盒</w:t>
            </w:r>
            <w:r>
              <w:rPr>
                <w:rFonts w:hint="eastAsia" w:cs="宋体"/>
                <w:color w:val="auto"/>
                <w:sz w:val="21"/>
                <w:szCs w:val="21"/>
                <w:highlight w:val="none"/>
              </w:rPr>
              <w:br w:type="page"/>
            </w:r>
            <w:r>
              <w:rPr>
                <w:rFonts w:hint="eastAsia" w:cs="宋体"/>
                <w:color w:val="auto"/>
                <w:sz w:val="21"/>
                <w:szCs w:val="21"/>
                <w:highlight w:val="none"/>
              </w:rPr>
              <w:t>输入电压：12V DC；</w:t>
            </w:r>
            <w:r>
              <w:rPr>
                <w:rFonts w:hint="eastAsia" w:cs="宋体"/>
                <w:color w:val="auto"/>
                <w:sz w:val="21"/>
                <w:szCs w:val="21"/>
                <w:highlight w:val="none"/>
              </w:rPr>
              <w:br w:type="page"/>
            </w:r>
            <w:r>
              <w:rPr>
                <w:rFonts w:hint="eastAsia" w:cs="宋体"/>
                <w:color w:val="auto"/>
                <w:sz w:val="21"/>
                <w:szCs w:val="21"/>
                <w:highlight w:val="none"/>
              </w:rPr>
              <w:t>过温保护值：≥90℃；</w:t>
            </w:r>
            <w:r>
              <w:rPr>
                <w:rFonts w:hint="eastAsia" w:cs="宋体"/>
                <w:color w:val="auto"/>
                <w:sz w:val="21"/>
                <w:szCs w:val="21"/>
                <w:highlight w:val="none"/>
              </w:rPr>
              <w:br w:type="page"/>
            </w:r>
            <w:r>
              <w:rPr>
                <w:rFonts w:hint="eastAsia" w:cs="宋体"/>
                <w:color w:val="auto"/>
                <w:sz w:val="21"/>
                <w:szCs w:val="21"/>
                <w:highlight w:val="none"/>
              </w:rPr>
              <w:t>过压保护：≥95 VDC；</w:t>
            </w:r>
            <w:r>
              <w:rPr>
                <w:rFonts w:hint="eastAsia" w:cs="宋体"/>
                <w:color w:val="auto"/>
                <w:sz w:val="21"/>
                <w:szCs w:val="21"/>
                <w:highlight w:val="none"/>
              </w:rPr>
              <w:br w:type="page"/>
            </w:r>
            <w:r>
              <w:rPr>
                <w:rFonts w:hint="eastAsia" w:cs="宋体"/>
                <w:color w:val="auto"/>
                <w:sz w:val="21"/>
                <w:szCs w:val="21"/>
                <w:highlight w:val="none"/>
              </w:rPr>
              <w:t>过流保护：≥12A；</w:t>
            </w:r>
            <w:r>
              <w:rPr>
                <w:rFonts w:hint="eastAsia" w:cs="宋体"/>
                <w:color w:val="auto"/>
                <w:sz w:val="21"/>
                <w:szCs w:val="21"/>
                <w:highlight w:val="none"/>
              </w:rPr>
              <w:br w:type="page"/>
            </w:r>
            <w:r>
              <w:rPr>
                <w:rFonts w:hint="eastAsia" w:cs="宋体"/>
                <w:color w:val="auto"/>
                <w:sz w:val="21"/>
                <w:szCs w:val="21"/>
                <w:highlight w:val="none"/>
              </w:rPr>
              <w:t>欠压保护：≤20V；</w:t>
            </w:r>
            <w:r>
              <w:rPr>
                <w:rFonts w:hint="eastAsia" w:cs="宋体"/>
                <w:color w:val="auto"/>
                <w:sz w:val="21"/>
                <w:szCs w:val="21"/>
                <w:highlight w:val="none"/>
              </w:rPr>
              <w:br w:type="page"/>
            </w:r>
            <w:r>
              <w:rPr>
                <w:rFonts w:hint="eastAsia" w:cs="宋体"/>
                <w:color w:val="auto"/>
                <w:sz w:val="21"/>
                <w:szCs w:val="21"/>
                <w:highlight w:val="none"/>
              </w:rPr>
              <w:t>相对湿度：0～95%；AC控制盒</w:t>
            </w:r>
            <w:r>
              <w:rPr>
                <w:rFonts w:hint="eastAsia" w:cs="宋体"/>
                <w:color w:val="auto"/>
                <w:sz w:val="21"/>
                <w:szCs w:val="21"/>
                <w:highlight w:val="none"/>
              </w:rPr>
              <w:br w:type="page"/>
            </w:r>
            <w:r>
              <w:rPr>
                <w:rFonts w:hint="eastAsia" w:cs="宋体"/>
                <w:color w:val="auto"/>
                <w:sz w:val="21"/>
                <w:szCs w:val="21"/>
                <w:highlight w:val="none"/>
              </w:rPr>
              <w:t>过压保护：≥265 VDC；</w:t>
            </w:r>
            <w:r>
              <w:rPr>
                <w:rFonts w:hint="eastAsia" w:cs="宋体"/>
                <w:color w:val="auto"/>
                <w:sz w:val="21"/>
                <w:szCs w:val="21"/>
                <w:highlight w:val="none"/>
              </w:rPr>
              <w:br w:type="page"/>
            </w:r>
            <w:r>
              <w:rPr>
                <w:rFonts w:hint="eastAsia" w:cs="宋体"/>
                <w:color w:val="auto"/>
                <w:sz w:val="21"/>
                <w:szCs w:val="21"/>
                <w:highlight w:val="none"/>
              </w:rPr>
              <w:t>过流保护：≥34A；</w:t>
            </w:r>
            <w:r>
              <w:rPr>
                <w:rFonts w:hint="eastAsia" w:cs="宋体"/>
                <w:color w:val="auto"/>
                <w:sz w:val="21"/>
                <w:szCs w:val="21"/>
                <w:highlight w:val="none"/>
              </w:rPr>
              <w:br w:type="page"/>
            </w:r>
            <w:r>
              <w:rPr>
                <w:rFonts w:hint="eastAsia" w:cs="宋体"/>
                <w:color w:val="auto"/>
                <w:sz w:val="21"/>
                <w:szCs w:val="21"/>
                <w:highlight w:val="none"/>
              </w:rPr>
              <w:t>欠压保护：≤176 VDC；</w:t>
            </w:r>
            <w:r>
              <w:rPr>
                <w:rFonts w:hint="eastAsia" w:cs="宋体"/>
                <w:color w:val="auto"/>
                <w:sz w:val="21"/>
                <w:szCs w:val="21"/>
                <w:highlight w:val="none"/>
              </w:rPr>
              <w:br w:type="page"/>
            </w:r>
            <w:r>
              <w:rPr>
                <w:rFonts w:hint="eastAsia" w:cs="宋体"/>
                <w:color w:val="auto"/>
                <w:sz w:val="21"/>
                <w:szCs w:val="21"/>
                <w:highlight w:val="none"/>
              </w:rPr>
              <w:t>输入电压：12VDC</w:t>
            </w:r>
            <w:r>
              <w:rPr>
                <w:rFonts w:hint="eastAsia" w:cs="宋体"/>
                <w:color w:val="auto"/>
                <w:sz w:val="21"/>
                <w:szCs w:val="21"/>
                <w:highlight w:val="none"/>
              </w:rPr>
              <w:br w:type="page"/>
            </w:r>
            <w:r>
              <w:rPr>
                <w:rFonts w:hint="eastAsia" w:cs="宋体"/>
                <w:color w:val="auto"/>
                <w:sz w:val="21"/>
                <w:szCs w:val="21"/>
                <w:highlight w:val="none"/>
              </w:rPr>
              <w:t>。</w:t>
            </w:r>
          </w:p>
          <w:p>
            <w:pPr>
              <w:wordWrap w:val="0"/>
              <w:spacing w:line="360" w:lineRule="exact"/>
              <w:rPr>
                <w:rFonts w:cs="宋体"/>
                <w:color w:val="auto"/>
                <w:sz w:val="21"/>
                <w:szCs w:val="21"/>
                <w:highlight w:val="none"/>
              </w:rPr>
            </w:pPr>
            <w:r>
              <w:rPr>
                <w:rFonts w:hint="eastAsia" w:cs="宋体"/>
                <w:color w:val="auto"/>
                <w:sz w:val="21"/>
                <w:szCs w:val="21"/>
                <w:highlight w:val="none"/>
              </w:rPr>
              <w:t>充电模块</w:t>
            </w:r>
            <w:r>
              <w:rPr>
                <w:rFonts w:hint="eastAsia" w:cs="宋体"/>
                <w:color w:val="auto"/>
                <w:sz w:val="21"/>
                <w:szCs w:val="21"/>
                <w:highlight w:val="none"/>
              </w:rPr>
              <w:br w:type="page"/>
            </w:r>
            <w:r>
              <w:rPr>
                <w:rFonts w:hint="eastAsia" w:cs="宋体"/>
                <w:color w:val="auto"/>
                <w:sz w:val="21"/>
                <w:szCs w:val="21"/>
                <w:highlight w:val="none"/>
              </w:rPr>
              <w:t>输入电压：220AC</w:t>
            </w:r>
            <w:r>
              <w:rPr>
                <w:rFonts w:hint="eastAsia" w:cs="宋体"/>
                <w:color w:val="auto"/>
                <w:sz w:val="21"/>
                <w:szCs w:val="21"/>
                <w:highlight w:val="none"/>
              </w:rPr>
              <w:br w:type="page"/>
            </w:r>
            <w:r>
              <w:rPr>
                <w:rFonts w:hint="eastAsia" w:cs="宋体"/>
                <w:color w:val="auto"/>
                <w:sz w:val="21"/>
                <w:szCs w:val="21"/>
                <w:highlight w:val="none"/>
              </w:rPr>
              <w:t>输入范围：±15%</w:t>
            </w:r>
            <w:r>
              <w:rPr>
                <w:rFonts w:hint="eastAsia" w:cs="宋体"/>
                <w:color w:val="auto"/>
                <w:sz w:val="21"/>
                <w:szCs w:val="21"/>
                <w:highlight w:val="none"/>
              </w:rPr>
              <w:br w:type="page"/>
            </w:r>
            <w:r>
              <w:rPr>
                <w:rFonts w:hint="eastAsia" w:cs="宋体"/>
                <w:color w:val="auto"/>
                <w:sz w:val="21"/>
                <w:szCs w:val="21"/>
                <w:highlight w:val="none"/>
              </w:rPr>
              <w:t>工作频率：50/60Hz</w:t>
            </w:r>
            <w:r>
              <w:rPr>
                <w:rFonts w:hint="eastAsia" w:cs="宋体"/>
                <w:color w:val="auto"/>
                <w:sz w:val="21"/>
                <w:szCs w:val="21"/>
                <w:highlight w:val="none"/>
              </w:rPr>
              <w:br w:type="page"/>
            </w:r>
            <w:r>
              <w:rPr>
                <w:rFonts w:hint="eastAsia" w:cs="宋体"/>
                <w:color w:val="auto"/>
                <w:sz w:val="21"/>
                <w:szCs w:val="21"/>
                <w:highlight w:val="none"/>
              </w:rPr>
              <w:t>输出电压：20-90V</w:t>
            </w:r>
            <w:r>
              <w:rPr>
                <w:rFonts w:hint="eastAsia" w:cs="宋体"/>
                <w:color w:val="auto"/>
                <w:sz w:val="21"/>
                <w:szCs w:val="21"/>
                <w:highlight w:val="none"/>
              </w:rPr>
              <w:br w:type="page"/>
            </w:r>
            <w:r>
              <w:rPr>
                <w:rFonts w:hint="eastAsia" w:cs="宋体"/>
                <w:color w:val="auto"/>
                <w:sz w:val="21"/>
                <w:szCs w:val="21"/>
                <w:highlight w:val="none"/>
              </w:rPr>
              <w:t>输出电流：2-10A</w:t>
            </w:r>
            <w:r>
              <w:rPr>
                <w:rFonts w:hint="eastAsia" w:cs="宋体"/>
                <w:color w:val="auto"/>
                <w:sz w:val="21"/>
                <w:szCs w:val="21"/>
                <w:highlight w:val="none"/>
              </w:rPr>
              <w:br w:type="page"/>
            </w:r>
            <w:r>
              <w:rPr>
                <w:rFonts w:hint="eastAsia" w:cs="宋体"/>
                <w:color w:val="auto"/>
                <w:sz w:val="21"/>
                <w:szCs w:val="21"/>
                <w:highlight w:val="none"/>
              </w:rPr>
              <w:t>输出功率：900W</w:t>
            </w:r>
            <w:r>
              <w:rPr>
                <w:rFonts w:hint="eastAsia" w:cs="宋体"/>
                <w:color w:val="auto"/>
                <w:sz w:val="21"/>
                <w:szCs w:val="21"/>
                <w:highlight w:val="none"/>
              </w:rPr>
              <w:br w:type="page"/>
            </w:r>
            <w:r>
              <w:rPr>
                <w:rFonts w:hint="eastAsia"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10</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充电装置分装调试工作站</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可实现交直流充电设备的装配与调试、DC控制盒的装配与测量、AC控制盒装配与测量、90V10A充电模块的装配与测量。尺寸：≥长1700mm×宽740mm×高1568mm。DC控制盒输入电压：12V DC；过温保护值：≥90℃；过压保护：≥95 VDC；过流保护：≥12A；欠压保护：≤20V；相对湿度：0～95%AC；AC控制盒过压保护：≥265 VDC；过流保护：≥34A；欠压保护：≤176 VDC；输入电压：12VDC；90V10A充电模块：输入电压：220AC，输入范围：±15%，工作频率：50/60Hz，输出电压：20-90V，输出电流：2-10A，输出功率：900W。</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此工作站可以与动力蓄电池分装调试工作站、驱动电机分装调试工作站联动测试，并且可以作为充电装置性能试验中心站的试验负载。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11</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高压系统三合一测试负载</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要求符合国标GB.T27930-2015《电动汽车非车载传导式充电机的通信协议》通信协议，并兼容国标GB.T27930-2011通信协议，适用于直流充电桩测试、动力蓄电池放电测试、交流充电桩测试。交流充电负载参数要求：工作电源：AC 220V 50HZ；电流调节：0-32A可调；电压分辨率：0.1V；电流分辨率：0.1A；控制方式：≥7英寸彩屏控制；冷却方式：强制风冷。直流充电负载：工作电源：AC 220V 50HZ；负载功率：0-50A可调；电压分辨率：0.1V；电流分辨率：0.1A；控制方式：≥7英寸彩屏控制；冷却方式：强制风冷。直流放电负载：工作电源：AC 220V 50HZ；负载功率：100V/50A/5KW；档位选择：1A、2A、2A、5A、10A、10A、20A；冷却方式：强制风冷。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12</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动力电池PACK装调与检测技术平台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平台主体架构采用银白色为主蓝色为辅色调的钣金框体，框体内水平布置动力电池包模块、配电箱模块、负载模块、控制模块以及充电模块，框体后侧安装显示器以及显示器支架。外形尺寸：≥长1450mm×宽1000mm×高1800mm。(1)电池包模块根据实车电池包外形模仿制作，外壳由黑色喷漆钣金≥10mm厚透明亚克力上盖组成，内部分为四个电池模组，每个模组由6节20AH方形磷酸铁锂动力电池串联成组组成，电池包电压平台为DC76.8V，电池模组间安装新能源车规级带互锁高压维修开关，保证电池包拆解时电压在安全范围内；电池模组连接方式采用四块不同PCB安装、螺丝紧固方式连接，且PCB采用防呆安装方式设计，不同电池模组只能安装对应的PCB板，表面错装导致短路从而造成安全事故；同时PCB上盖采用10MM厚黑色电木板隔离，避免学员PCB在拆装过程掉入工具或金属物品造成电池短路。(2)配电箱模块外壳由银白色喷漆钣金+透明亚克力上盖组成，外壳侧边安装车规级分布式电池管理系统、2PIN高压接插件及23PIN低压连接器，高压连接器与线束及低压连接器均采用车规级的配件，内部根据实车控制逻辑安装，主要配件有：放电接触器、预充接触器、慢充接触器、预充电阻、预充电容等，控制方式与实车一致。(3)负载模块外壳由银白色喷漆钣金构成，负载模块上盖外壳还安装两个带防护网的散热风扇，且风扇散热方式采用向下散热，与负载模块对应的底座镂空部分形成对流，然后从台架后侧散热排风口进行排放；负载内部安装多个功率电阻，通过上位机控制模拟车辆加减速过程中电流的变换，可实现1A~6A 六个等级放电电流状态；同时通过上位机显示不同放电电状态下每个单体电池电压、温度、电池包放电电流、电池包放电电压等参数变化，学习新能源汽车充电系统原理以及单体电池充电特性。(4)控制模块和充电模块水平安装在平台左前方位置，上方安装透明亚克力，可直观观察控制模块和充电模块组成结构。(5)配套国标便携式交流充电枪，采用新能源汽车充电系统控制原理方式进行电器系统搭建，实现平台电池包充电实训教学，同时通过上位机显示充电状态下每个单体电池电压、温度、电池包充电电流、电池包充电电压等参数变化，学习新能源汽车充电系统原理以及单体电池充电特性；平台支持国标7kw及以下交流充电桩充电；(6)电池包模块、高压配电箱模块、负载模块上的高压接插件带互锁功能，所有互锁通过串联连接并最终由BMS检测；低压接插件采用车用防水接插件。(7)平台加装对外放电正接触器和对外放电负接触器，可用来与另一个平台“纯电动汽车驱动系统装调与检测技术平台”进行互联，给驱动系统装调与检测技术平台提供直流电源，驱动电机运转。</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平台至少配置：产品控制器1台(配置酷睿i5处理器、8G内存、64G固态硬盘，采用无风扇低功耗计算机，分辨率：1920×1080；同时平台配置有保护盒并且高度可上下调节；作为上位机的载体，可通过CAN转USB设备与下位机进行连接，对协议数据信息进行转换给到上位机，实现上位机和下位机的实时通讯和监控)，显示装置1个(配置≥43寸显示装置，安装可伸缩可旋转的蝴蝶支架上，蝴蝶支架安装在台架立柱式支架上，立柱式支架采用上下可调式双排对称孔位设计，实现显示器上下、水平60°多方位调整)，便携式3.3KW充电枪1把、PCB周转存放架1个，20AH磷酸铁锂电池6个，电池放置托盘2个，零件放置盒1个，单体电池正负极保护盖板30个以及一套数量种类不少于18种易损物料耗材包。可完成实训项目：单体电池分容分拣、电池模组成组条件、电池包PACK方式、电池包数据标定方式、电池包拆装、配电箱认知和拆装</w:t>
            </w:r>
            <w:r>
              <w:rPr>
                <w:rFonts w:hint="eastAsia" w:cs="宋体"/>
                <w:b/>
                <w:bCs/>
                <w:color w:val="auto"/>
                <w:kern w:val="0"/>
                <w:sz w:val="21"/>
                <w:szCs w:val="21"/>
                <w:highlight w:val="none"/>
              </w:rPr>
              <w:t>(说明：投标人提供承诺函函)</w:t>
            </w:r>
            <w:r>
              <w:rPr>
                <w:rFonts w:hint="eastAsia" w:cs="宋体"/>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13</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动力电池PACK装调与检测技术平台智能教学系统</w:t>
            </w:r>
          </w:p>
        </w:tc>
        <w:tc>
          <w:tcPr>
            <w:tcW w:w="4005" w:type="pct"/>
            <w:vAlign w:val="center"/>
          </w:tcPr>
          <w:p>
            <w:pPr>
              <w:numPr>
                <w:ilvl w:val="0"/>
                <w:numId w:val="28"/>
              </w:numPr>
              <w:wordWrap w:val="0"/>
              <w:spacing w:line="360" w:lineRule="exact"/>
              <w:rPr>
                <w:rFonts w:cs="宋体"/>
                <w:bCs/>
                <w:color w:val="auto"/>
                <w:kern w:val="0"/>
                <w:sz w:val="21"/>
                <w:szCs w:val="21"/>
                <w:highlight w:val="none"/>
              </w:rPr>
            </w:pPr>
            <w:r>
              <w:rPr>
                <w:rFonts w:hint="eastAsia" w:cs="宋体"/>
                <w:b/>
                <w:color w:val="auto"/>
                <w:sz w:val="21"/>
                <w:szCs w:val="21"/>
                <w:highlight w:val="none"/>
              </w:rPr>
              <w:t>▲</w:t>
            </w:r>
            <w:r>
              <w:rPr>
                <w:rFonts w:hint="eastAsia" w:cs="宋体"/>
                <w:bCs/>
                <w:color w:val="auto"/>
                <w:kern w:val="0"/>
                <w:sz w:val="21"/>
                <w:szCs w:val="21"/>
                <w:highlight w:val="none"/>
              </w:rPr>
              <w:t>系统</w:t>
            </w:r>
            <w:r>
              <w:rPr>
                <w:rFonts w:hint="eastAsia" w:cs="宋体"/>
                <w:color w:val="auto"/>
                <w:kern w:val="0"/>
                <w:sz w:val="21"/>
                <w:szCs w:val="21"/>
                <w:highlight w:val="none"/>
              </w:rPr>
              <w:t>能实现将单体电池实时状态进行图形化显示，同时对单体电池进行三个门限值设置，并且通过软件操作界面对下位机进行控制，此款软件须配套本项目中“动力电池PACK装调与检测技术平台”使用。</w:t>
            </w:r>
            <w:r>
              <w:rPr>
                <w:rFonts w:hint="eastAsia" w:cs="宋体"/>
                <w:bCs/>
                <w:color w:val="auto"/>
                <w:kern w:val="0"/>
                <w:sz w:val="21"/>
                <w:szCs w:val="21"/>
                <w:highlight w:val="none"/>
              </w:rPr>
              <w:t>系统</w:t>
            </w:r>
            <w:r>
              <w:rPr>
                <w:rFonts w:hint="eastAsia" w:cs="宋体"/>
                <w:color w:val="auto"/>
                <w:kern w:val="0"/>
                <w:sz w:val="21"/>
                <w:szCs w:val="21"/>
                <w:highlight w:val="none"/>
              </w:rPr>
              <w:t>可对组装后电池组进行标定与动态检测，并可通过人机交互界面对动力电池PACK实训台进行图形化控制，方便对电池组的数据分析与标定。</w:t>
            </w:r>
            <w:r>
              <w:rPr>
                <w:rFonts w:hint="eastAsia" w:cs="宋体"/>
                <w:bCs/>
                <w:color w:val="auto"/>
                <w:kern w:val="0"/>
                <w:sz w:val="21"/>
                <w:szCs w:val="21"/>
                <w:highlight w:val="none"/>
              </w:rPr>
              <w:t>系统</w:t>
            </w:r>
            <w:r>
              <w:rPr>
                <w:rFonts w:hint="eastAsia" w:cs="宋体"/>
                <w:color w:val="auto"/>
                <w:kern w:val="0"/>
                <w:sz w:val="21"/>
                <w:szCs w:val="21"/>
                <w:highlight w:val="none"/>
              </w:rPr>
              <w:t>可实时检测CAN设备、M1203等通讯设备的连接状态，并能对检测结果进行判定，异常时会上报相应的错误提示。并且可以对插拔的M1203串口进行自动检测与通讯恢复。</w:t>
            </w:r>
          </w:p>
          <w:p>
            <w:pPr>
              <w:numPr>
                <w:ilvl w:val="0"/>
                <w:numId w:val="28"/>
              </w:numPr>
              <w:wordWrap w:val="0"/>
              <w:spacing w:line="360" w:lineRule="exact"/>
              <w:rPr>
                <w:rFonts w:cs="宋体"/>
                <w:color w:val="auto"/>
                <w:kern w:val="0"/>
                <w:sz w:val="21"/>
                <w:szCs w:val="21"/>
                <w:highlight w:val="none"/>
              </w:rPr>
            </w:pPr>
            <w:r>
              <w:rPr>
                <w:rFonts w:hint="eastAsia" w:cs="宋体"/>
                <w:bCs/>
                <w:color w:val="auto"/>
                <w:kern w:val="0"/>
                <w:sz w:val="21"/>
                <w:szCs w:val="21"/>
                <w:highlight w:val="none"/>
              </w:rPr>
              <w:t>系统</w:t>
            </w:r>
            <w:r>
              <w:rPr>
                <w:rFonts w:hint="eastAsia" w:cs="宋体"/>
                <w:color w:val="auto"/>
                <w:kern w:val="0"/>
                <w:sz w:val="21"/>
                <w:szCs w:val="21"/>
                <w:highlight w:val="none"/>
              </w:rPr>
              <w:t>具有理论、实训、调试等三大主要功能模式。</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理论模式内置视频资源与文本资源，视频资源分为本地资源和在线资源，本地资源为软件自带资源，需提供在线资源免费预览和下载；本地资源内置依据投标人所投的设备定制开发视屏资源，包含电池单体筛选、电池模组成组、电池PACK内线束和传感器安装、配电箱内线束和附件安装及电池管理系统参数检查与充放电测试。本地资源包含电池虚拟结构原理展示台，资源内包含铅酸电池、磷酸铁锂电池、三元锂电池以及镍氢电池四种类型电池，通过操作进行各电池结构爆炸分解和合并，同时每个分解部分对应显示其名称。</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实训模式界面需图形化动态显示动力电池组总电压、电池均温、单体电池电压、单体电池最高电压、单体电池最低电压、单体电池温度、单体电池最高温度、单体电池最低温度、电流、SOC等数据信息。电池单体信息分为四个模组，可在四个模组之间切换显示；能实现软件与下位机实时通讯和监控，将下位机的异常故障上报故障问题以及数据流信息，通过提示的故障以及查看数据流信息进行判断故障原因和位置，从而排除故障，正常运行。实训界面需配置充电和放电两个图形化按钮，点击放电按钮，页面可显示放电电流，剩余放电时间等信息。点击充电按钮，连接充电枪，正常情况下，页面显示充电枪连接状态，CC、CP，充电电流，充电剩余时间等信息。</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调试模式点击调试按钮可进入调试界面，调试数据信息呈列表形式显示，包含：总压过高、单体过高、放电高温、充电高温、压差过大、放电过流、soc过低、总压过低、单体过低、放电低温、充电低温、温差过大、充电过流、绝缘过低等数据，每条数据分三个告警等级，可进行编辑修改；同时显示当前SOC、电池容量及最大电流。具有接触器检测功能，并可将采集的数据通过canbus实时反馈至教学系统。可实时检测总正继电器、总负继电器、预充继电器、放电继电器、慢充继电器、快充继电器等。</w:t>
            </w:r>
          </w:p>
          <w:p>
            <w:pPr>
              <w:numPr>
                <w:ilvl w:val="0"/>
                <w:numId w:val="28"/>
              </w:numPr>
              <w:wordWrap w:val="0"/>
              <w:spacing w:line="360" w:lineRule="exact"/>
              <w:rPr>
                <w:rFonts w:cs="宋体"/>
                <w:bCs/>
                <w:color w:val="auto"/>
                <w:kern w:val="0"/>
                <w:sz w:val="21"/>
                <w:szCs w:val="21"/>
                <w:highlight w:val="none"/>
              </w:rPr>
            </w:pPr>
            <w:r>
              <w:rPr>
                <w:rFonts w:hint="eastAsia" w:cs="宋体"/>
                <w:color w:val="auto"/>
                <w:kern w:val="0"/>
                <w:sz w:val="21"/>
                <w:szCs w:val="21"/>
                <w:highlight w:val="none"/>
              </w:rPr>
              <w:t>★</w:t>
            </w:r>
            <w:r>
              <w:rPr>
                <w:rFonts w:hint="eastAsia" w:cs="宋体"/>
                <w:bCs/>
                <w:color w:val="auto"/>
                <w:kern w:val="0"/>
                <w:sz w:val="21"/>
                <w:szCs w:val="21"/>
                <w:highlight w:val="none"/>
              </w:rPr>
              <w:t>系统配置动力电池组装调与检测3D虚拟仿真软件</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软件完全基于动力电池PACK装调与检测技术平台硬件建模，操作步骤完全基于比赛规程要求和操作步骤开发。教师端和学生端分别包含训练模式和考核模式。训练模式：固定操作顺序，针对错误操作进行文字提示和元器件高亮提示。考核模式：固定操作顺序，针对错误的操作进行文字提示，同时进行扣分和计分，并在后台记录，元器件不会高亮提示，考核结束后，登录教师端账号进行查看成绩以及出错的步骤。软件整体流程至少包含：检查电池是否合格、拿取高压配电箱外壳、擦拭高压配电箱外壳、装入动力电池并调整排列方向、安装高压配电箱盖、安装高压配电箱螺栓、检查高压配电箱的电压与电阻、拿取高压配电箱外壳、擦拭高压配电箱外壳、装入动力电池并调整排列方向、安装高压配电箱盖、安装高压配电箱螺栓、检查高压配电箱的电压与电阻、拿取高压配电箱外壳、擦拭高压配电箱外壳、装入动力电池并调整排列方向、安装高压配电箱盖、安装高压配电箱螺栓、检查高压配电箱的电压与电阻、拿取高压配电箱外壳、擦拭高压配电箱外壳、装入动力电池并调整排列方向、安装高压配电箱盖、安装高压配电箱螺栓、检查高压配电箱的电压与电阻、检查组装平台电源是否关闭、擦拭高压配电箱槽、安装采集模块、安装继电器、安装霍尔传感器、安装高压配电箱、安装维修开关底座、安装铜排、安装电池信息采集器线束、安装保护罩、安装继电器与预充电阻、安装电容、连接配电箱高压线束、连接配电箱低压线束、扭紧线束螺栓螺栓、安装配电箱护罩、连接外部高压线束与低压线束、安装维修开关顶部。软件应基于“模拟拆装物理引擎”，可以按照真实的检测和装配顺序进行拆装和零部件检验操作</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bCs/>
                <w:color w:val="auto"/>
                <w:kern w:val="0"/>
                <w:sz w:val="21"/>
                <w:szCs w:val="21"/>
                <w:highlight w:val="none"/>
              </w:rPr>
            </w:pPr>
            <w:r>
              <w:rPr>
                <w:rFonts w:hint="eastAsia" w:cs="宋体"/>
                <w:bCs/>
                <w:color w:val="auto"/>
                <w:kern w:val="0"/>
                <w:sz w:val="21"/>
                <w:szCs w:val="21"/>
                <w:highlight w:val="none"/>
              </w:rPr>
              <w:t>系统配置微课</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微课视频不低于5个，内容含磷酸铁锂电池的结构、组成、电压、充电方式，锂电池不一致性故障的处理原理，主被动均衡的工作原理及特点，磷酸铁锂电池均衡的故障现象处理等知识点。微课支持跨平台浏览和学习，可实现语音讲解、视频及动画在线观看、案例分享、图片相册集成、答题交互等，可进行互动点击学习、内容考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14</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纯电动汽车驱动系统装调与检测技术平台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技术平台：≥长1900mm×宽910mm×高680mm。包含：动力总成拆装实训台、智能信息采集检测箱、驱动能量供给实训台、纯电动汽车驱动系统装调与检测技术平台智能教学系统等重要部件组成。技术平台能完成实训项目：含变速箱组件外观检查，如齿轮轮系转动、主轴齿轮、副轴齿轮的、差速器组件等的检查；差速器组件的高度测量；后箱体轴承孔底的测量；选择三轴调整垫片厚度；驱动电机的空转检查；冷却回路密封性能检查；冷态绝缘电阻检测；绕组短路检查；绕组断路检查；旋变传感器绕组阻值检查；电机绕组温度传感器阻值检查。</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技术平台包含</w:t>
            </w:r>
            <w:r>
              <w:rPr>
                <w:rFonts w:hint="eastAsia" w:cs="宋体"/>
                <w:bCs/>
                <w:color w:val="auto"/>
                <w:kern w:val="0"/>
                <w:sz w:val="21"/>
                <w:szCs w:val="21"/>
                <w:highlight w:val="none"/>
              </w:rPr>
              <w:t>动力总成拆装实训台，实训台</w:t>
            </w:r>
            <w:r>
              <w:rPr>
                <w:rFonts w:hint="eastAsia" w:cs="宋体"/>
                <w:color w:val="auto"/>
                <w:kern w:val="0"/>
                <w:sz w:val="21"/>
                <w:szCs w:val="21"/>
                <w:highlight w:val="none"/>
              </w:rPr>
              <w:t>采用上下双层结构梁支撑，承重大梁采用≥80mm×40mm的U型型材制作而成，安全稳固。</w:t>
            </w:r>
            <w:r>
              <w:rPr>
                <w:rFonts w:hint="eastAsia" w:cs="宋体"/>
                <w:bCs/>
                <w:color w:val="auto"/>
                <w:kern w:val="0"/>
                <w:sz w:val="21"/>
                <w:szCs w:val="21"/>
                <w:highlight w:val="none"/>
              </w:rPr>
              <w:t>实训台</w:t>
            </w:r>
            <w:r>
              <w:rPr>
                <w:rFonts w:hint="eastAsia" w:cs="宋体"/>
                <w:color w:val="auto"/>
                <w:kern w:val="0"/>
                <w:sz w:val="21"/>
                <w:szCs w:val="21"/>
                <w:highlight w:val="none"/>
              </w:rPr>
              <w:t>至少配置变速箱齿轮、轴承、油封、卡簧等拆卸部件放置钣金一套，避免随意摆放拆卸零部件导致丢失或磨损。</w:t>
            </w:r>
            <w:r>
              <w:rPr>
                <w:rFonts w:hint="eastAsia" w:cs="宋体"/>
                <w:bCs/>
                <w:color w:val="auto"/>
                <w:kern w:val="0"/>
                <w:sz w:val="21"/>
                <w:szCs w:val="21"/>
                <w:highlight w:val="none"/>
              </w:rPr>
              <w:t>实训台</w:t>
            </w:r>
            <w:r>
              <w:rPr>
                <w:rFonts w:hint="eastAsia" w:cs="宋体"/>
                <w:color w:val="auto"/>
                <w:kern w:val="0"/>
                <w:sz w:val="21"/>
                <w:szCs w:val="21"/>
                <w:highlight w:val="none"/>
              </w:rPr>
              <w:t>主体结构采用钢质材料，可承受≥1吨的有效载荷。桌面承重面板采用≥2cm厚度木板，面板上装有优质不锈钢折弯面板，不锈钢材质。桌面平铺≥5mm厚度绝缘垫。</w:t>
            </w:r>
          </w:p>
          <w:p>
            <w:pPr>
              <w:numPr>
                <w:ilvl w:val="0"/>
                <w:numId w:val="28"/>
              </w:numPr>
              <w:wordWrap w:val="0"/>
              <w:spacing w:line="360" w:lineRule="exact"/>
              <w:rPr>
                <w:rFonts w:cs="宋体"/>
                <w:bCs/>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电动机类型为三相永磁交流同步电机，电动机最大输出扭矩≥310N·m，额定扭矩≥160N·m，输入功率≥160kW，额定功率≥80kW，最大输出转速≥12000rpm。变速器为单挡固定齿比变速器，主减速器减速比≥9.266，一级传动比≥3.217，主减速传动比≥2.880，电机轴中心与差速器中心的距离≥239mm。电机正常运行时，可借助示波器测量三相电的相位与旋变传感器的信号。</w:t>
            </w:r>
            <w:r>
              <w:rPr>
                <w:rFonts w:hint="eastAsia" w:cs="宋体"/>
                <w:bCs/>
                <w:color w:val="auto"/>
                <w:kern w:val="0"/>
                <w:sz w:val="21"/>
                <w:szCs w:val="21"/>
                <w:highlight w:val="none"/>
              </w:rPr>
              <w:t>平台的</w:t>
            </w:r>
            <w:r>
              <w:rPr>
                <w:rFonts w:hint="eastAsia" w:cs="宋体"/>
                <w:color w:val="auto"/>
                <w:kern w:val="0"/>
                <w:sz w:val="21"/>
                <w:szCs w:val="21"/>
                <w:highlight w:val="none"/>
              </w:rPr>
              <w:t>电动机与变速箱分离丝杆机构以及变速箱可进行360°任意翻转结构，使动力总成拆装轻便快捷。平台台面四周设计油槽，齿轮拆卸、清洗、安装时油污直接可以回流到集油装置。</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技术平台包含智能信息采集检测箱，箱体表面喷涂高附着力磨砂黑色烤漆，装备电机低压控制信号输入及输出插头，插头采用新能源原车低压信号插头，能最大程度上贴合实车部件教学。装备电机三相电源输入线缆插座，学生可通过配套电机三相线缆完成驱动能量供给平台与智能信息采集检测箱之间的高压线路装配与连接。装备低压通讯线缆插座，学生可通过配套低压通信线束完成驱动能量供给平台与智能信息采集检测箱之间的低压线路装配与连接。可借助万用表完成定子绕组相间电压信号检测。配套有电机三相电压信号、电机旋变信号检测点，可借助示波器等设备对该信号波形进行诊断与分析，设备初始状态旋变信号波形可清晰读取。装配具有保护功能的检测端子，检测端子名称采用白色字体丝印。能真实设置电机旋变信号及电机温度信号故障，通过协议读取故障码，从而判断故障部位，通过检测排除故障。</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技术平台包含驱动能量供给，搭载≥21.5寸Win10操作系统触摸液晶显示器，用坚固冷轧钢板，耐水、耐老化。配套车规级电机控制器，设备通电后，可动态展示电机正反转、加速与减速状态。配备电机三相线接口、电机旋变传感器接口及地线接口，可方便连接智能信息采集检测箱为电机供电。具备外接端口，可与动力电池，PACK装调与检测技术平台联动。配套超大存储抽屉，抽屉用实心双排滚珠静音缓冲阻尼导轨固定，导轨表面用不锈钢拉丝，电镀加工抛光打磨处理。</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★纯电动汽车驱动系统装调与检测技术平台智能教学系统</w:t>
            </w:r>
          </w:p>
          <w:p>
            <w:pPr>
              <w:wordWrap w:val="0"/>
              <w:spacing w:line="360" w:lineRule="exact"/>
              <w:rPr>
                <w:rFonts w:cs="宋体"/>
                <w:color w:val="auto"/>
                <w:kern w:val="0"/>
                <w:sz w:val="21"/>
                <w:szCs w:val="21"/>
                <w:highlight w:val="none"/>
              </w:rPr>
            </w:pPr>
            <w:r>
              <w:rPr>
                <w:rFonts w:hint="eastAsia" w:cs="宋体"/>
                <w:color w:val="auto"/>
                <w:kern w:val="0"/>
                <w:sz w:val="21"/>
                <w:szCs w:val="21"/>
                <w:highlight w:val="none"/>
              </w:rPr>
              <w:t>需内置视频资源与文本资源，视频资源含本地资源和在线资源。本地资源为软件自带资源，提供在线资源免费预览和下载。内置资源包含永磁同步电机结构组成及工作原理，能分解部分对应显示其名称，同时还需配备电机原理动画演示，通过彩色动画形式展现。本地资源内置依据本产品定制开发视屏资源，包含减速器总成拆卸、减速器总成安装、数值测量与调整垫片厚度计算、驱动系统静态测试及驱动系统动态测试</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技术平台配套实训指导书3本，实训指导书内容至少包含：认识纯电动汽车驱动系统装调与检测技术平台、驱动电机气密性检测、减速器总成拆卸、清洁并组装减速器齿轮组、测量差速器轴安装间隙、减速器总成安装、驱动系统静态测试、驱动系统动态测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15</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动力电池分容柜</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平台用八通道设计，需具备先进的通道独立功能，每个通道可以单点启动、单点停止。需具备电压巡检功能，可自动识别电池是否装好。可通过分容平台完成对单体电池的分容训练。每节电池通道上方均需配置状态指示灯，使学生对每节电池状态一目了然。箱体左右两侧均需设计独立排风口，最大程度上保证仪器的散热性能。设备底部配套双刹车万向脚轮锁止机构。</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配套分容测试软件，系统软件采用windows风格设计，用户可自行设置充放电参数，软件界面可以实时显示电池测试信息，包含电流、电压、容量、时间、状态等信息、可以随时中断操作，重启后数据可以自动接续。可实现的实训任务：进行8节单体电池分容；进行方形电池、圆柱形电池、任意形状电池检测分容。</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配套电池分容柜实训指导书3本，指导书包含以下内容：方形磷酸铁锂电池分容的操作；圆柱形三元锂电池分容的操作；线夹式电池分容的操作。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16</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检测工具套装</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★检测工具套装至少包括万用表、绝缘电阻测量仪、电池内阻测试仪、四通道示波器、直流电阻测试仪、手持示波器、万用接线盒各1套</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万用表：可测量电压、电阻、电流等，直流电压量程≥1000V。绝缘电阻测量仪：绝缘测试电压≥1000V。电池内阻测试仪：电阻：≥1uΩ-33KΩ，精度0.2%。四通道示波器：通道数量≥4个，带宽≥100MHz</w:t>
            </w:r>
            <w:r>
              <w:rPr>
                <w:rFonts w:hint="eastAsia" w:cs="宋体"/>
                <w:color w:val="auto"/>
                <w:sz w:val="21"/>
                <w:szCs w:val="21"/>
                <w:highlight w:val="none"/>
              </w:rPr>
              <w:t>。</w:t>
            </w:r>
            <w:r>
              <w:rPr>
                <w:rFonts w:hint="eastAsia" w:cs="宋体"/>
                <w:color w:val="auto"/>
                <w:kern w:val="0"/>
                <w:sz w:val="21"/>
                <w:szCs w:val="21"/>
                <w:highlight w:val="none"/>
              </w:rPr>
              <w:t>直流电阻测试仪：低电阻测试范围≥0.5mΩ-6kΩ，最小分辨率≤10μΩ，测量电流≥5A。手持示波器：实时采样率1GS/s，带宽100MHz，存储深度每通7.5kpts，垂直灵敏度5mV/div-50V/div，具有精细的视窗扩展功能、屏幕拷贝功能、U盘升级功能，7000mAh锂电池供电，持续工作时间不低于7个小时。万用接线盒：包含不少于10种规格的“T”型线，能满足整车故障设置平台和故障检测盒的所有保险丝、继电器、元器件插接测量之用，要有足够的通流能力和可重复插接使用能力，至少包含：黑色护套夹子延长线，L=2M(黑色)；红色护套夹子延线，L=2M(红色)；端子对全包式鳄鱼夹，L=220mm(红色)；端子对全包式鳄夹，L=220mm(黑色)；热缩套管端子对全包式鳄鱼夹，L=220mm(红色)；热缩套管端子对全包式鳄鱼夹，L=220mm(黑色)；红色全包式∅2.0测试探针；黑色全包式∅2.0测试探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17</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新能源实训用整车</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续航里程：≥450km，电池能量：≥53KWh，最大功率：≥100KW，最大扭矩：≥180N·m，车辆尺寸：≥4670×1770×1500mm，轴距：≥2670mm，4门5座。电池类型：磷酸铁锂电池；电机类型：永磁同步电机。承载式车体结构、主/副驾驶座安全气囊、前侧气囊、胎压报警、电动天窗</w:t>
            </w:r>
            <w:r>
              <w:rPr>
                <w:rFonts w:hint="eastAsia" w:cs="宋体"/>
                <w:b/>
                <w:bCs/>
                <w:color w:val="auto"/>
                <w:kern w:val="0"/>
                <w:sz w:val="21"/>
                <w:szCs w:val="21"/>
                <w:highlight w:val="none"/>
              </w:rPr>
              <w:t>(说明：投标人提供承诺函)</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驾驶辅助系统：至少包含有定速巡航、运动/经济/雪地驾驶模式切换、自动驻车、上坡辅助。</w:t>
            </w:r>
            <w:r>
              <w:rPr>
                <w:rFonts w:hint="eastAsia" w:cs="宋体"/>
                <w:color w:val="auto"/>
                <w:sz w:val="21"/>
                <w:szCs w:val="21"/>
                <w:highlight w:val="none"/>
              </w:rPr>
              <w:t>具备高压配电保护、继电器状态检测保护、预充电检测和主动放电安全管理、绝缘检测安全管理、碰撞安全管理、物理隔离保护等保护策略。车辆配备池管理系统、电机控制器、交流充电单元、无钥匙进入系统、车身控制系统等低压线束连接器无损对插转接盒及适配线束，可实现车辆被测系统与整车故障设置平台和故障检测盒的快速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18</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整车故障设置与检测连接平台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整车故障设置与检测连接平台与本项的“新能源实训用整车”配套使用。配置原厂适配器，实现与整车无损快速连接。台架主体框架：采用坚固铝型材制作，下方安装四个带刹车万向脚轮，台架框体尺寸：≥1800mm×840mm×1400mm。能够进行新能源汽车低压电源管理车身电气模块(BCM)、电池管理(BMS)、电机控制(PEU)、空调系统模块(热管理)、车载充电机(OBC)、快充接口、慢充接口、整车控制(VCU)、底盘管理电子手刹控制系统、电子助力转向系统等系统检测。在检测面板上，完全按照原车模块和线束插头端子相同针脚排列规律和形状的插口测量功能，多元测量实时交互。具备无线故障设置功能，单一故障点≥100路</w:t>
            </w:r>
            <w:r>
              <w:rPr>
                <w:rFonts w:hint="eastAsia" w:cs="宋体"/>
                <w:b/>
                <w:bCs/>
                <w:color w:val="auto"/>
                <w:kern w:val="0"/>
                <w:sz w:val="21"/>
                <w:szCs w:val="21"/>
                <w:highlight w:val="none"/>
              </w:rPr>
              <w:t>(说明：提供投标产品制造商公开发布的印刷资料或说明书或白皮书或国家认可的检测机构出具的检测报告等类似资料)</w:t>
            </w:r>
            <w:r>
              <w:rPr>
                <w:rFonts w:hint="eastAsia" w:cs="宋体"/>
                <w:color w:val="auto"/>
                <w:kern w:val="0"/>
                <w:sz w:val="21"/>
                <w:szCs w:val="21"/>
                <w:highlight w:val="none"/>
              </w:rPr>
              <w:t>。</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能在平台背面快速进行线路断路、线路电阻过大、线路对正电搭铁、线路对地搭铁、单个元件插头上线路窜线等故障设置。检测模块：检测面板由8mm亚克力制作，面板上安装4mm检测端子，万用表表笔检测时接触紧密不掉落，保证测量数据可靠性及操作方便性；同时测试面板上配备对应车型电池管理模块、电机控制器模块、及BCM等模块亚克力，亚克力上丝印对应模块端子针脚号。配置手动设置模块，设计故排操作面板和锁盖，内置PCB电路封装，同时安装手动设故开关，实现线路的断路故障设置；锁盖需采用钣金切割、折弯、酸洗、喷漆等工艺制作，上面装有圆形锁具，保证故障设置后考生无法知悉具体设置故障线路。手动设故面板上设计安装可调电阻，可设置串电阻故障。</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无线设故系统需设计20路设故采集盒，20路设故采集盒与上位机可通过有线、无线连接上位机软件，能将采集到整车线束电信号实时反馈并显示出来，同时可在上位机上进行故障设置，来实现车辆的断路、短路、虚接等故障，实现软硬件双向实时交互。无损跨接线束需采用60针与40针银色航空接插头，航空插头固定与台架主体框架钣金后侧，需对应跨接线束安装不易脱落亚克力标贴，需与台架航空插座标贴一一对应，防止误插；跨接线束另一端配备对应车辆各模块原车插头以及插座，保证车辆与台架进行无损对接的同时，拔下跨接线束后车辆可正常行驶。</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采用≥18寸显示装置，用立式钣金支架固定，装置可360°水平旋转，能清晰显示软件操作界面；显示装置内安装智能教学系统，教学系统具有资源、考试、维修手册等功能，资源栏内置课程资源，教师和学生可通过相关资源完成对新能源车辆基础知识的认知与学习，软件内置原车电路图，辅助教学及故障诊断，软件具有资源上传与删除功能，通过资源上传功能，同时内置可视化课程资源，包含文本资源和视频资源，可完成实训期间的辅助教学。教师也可以自主上传视频类资源和文本资源等，或者删除自主上传的课程资源，考试栏具有故障设置及考核功能，故障设置类型包含断路、信号对地短路、虚接等故障，故障设置数量点可根据实际需求变动，智能教学系统具有加密功能，可有效限制不合规操作，软件内置红黑表笔，可在各电路图中进行虚拟电压测量并在界面显示。</w:t>
            </w:r>
          </w:p>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w:t>
            </w:r>
            <w:r>
              <w:rPr>
                <w:rFonts w:hint="eastAsia" w:cs="宋体"/>
                <w:color w:val="auto"/>
                <w:kern w:val="0"/>
                <w:sz w:val="21"/>
                <w:szCs w:val="21"/>
                <w:highlight w:val="none"/>
              </w:rPr>
              <w:t>可完成的实训任务：新能源车辆维护的必要性与车主自行保养项目、新能源车辆店内日常维护项目、纯电动车辆的保养周期与内容、新能源车辆诊断设备的操作使用与故障诊断流程、高压驱动组件的故障排查、新能源整车故障排查、充电系统的故障排查、电池管理系统的故障排查、整车控制器的故障排查、整车电器电源配电系统的故障排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19</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动力总成及电池智能教学平台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b/>
                <w:color w:val="auto"/>
                <w:sz w:val="21"/>
                <w:szCs w:val="21"/>
                <w:highlight w:val="none"/>
              </w:rPr>
              <w:t>▲动力总成及电池智能教学平台，可与整车故障设置平台进行连接使用。</w:t>
            </w:r>
            <w:r>
              <w:rPr>
                <w:rFonts w:hint="eastAsia" w:cs="宋体"/>
                <w:color w:val="auto"/>
                <w:kern w:val="0"/>
                <w:sz w:val="21"/>
                <w:szCs w:val="21"/>
                <w:highlight w:val="none"/>
              </w:rPr>
              <w:t>产品满足ISO/IEC17025：2005及CNAS-CL01标准的可靠性检测。采用LED背光，液晶屏屏体达到A级标准，无坏点。显示尺寸：≥86英寸。屏幕物理分辨率：≥3840×2160像素，亮度不小于350cd/m²。屏幕表面采用4mm AG防眩光钢化玻璃，防划，防撞，莫氏硬度≥7H，钢化玻璃表面硬度≥9H。屏幕需满足全屏显示比例16：9。屏幕上两侧无快捷键；超窄边设计，左右边框宽度≤15mm，磁吸笔托设计。内置喇叭总输出功率：不小于30W，正面出音保证教室内-声音有效覆盖。接口要求：HDMI IN×2，USB2.0×2，TOUCHUSB×1，VGA IN×1，VGA AUDIO IN×1，RJ45×1，RS232×1，AUDIOOUT×1，YPBPR×1；SPDIF×1；AVIN；OPS接口×1，外置WIFI天线接口端子及蓝牙天线接口端子。TOUCH USB×1；USB3.0×2；TypeC×1，不少于2个USB双通道多媒体USB接口。(Windows&amp;Android系统通道)。需支持≥32点同时触控，触摸分辨率≥32767×32767，最高支持40点触摸。触摸精度≤1mm，触摸高度≤2.5mm；最小识别直径2mm。触摸笔识别：标配书写笔具备两种笔头直径，无需点击任何快捷键，支持同时自动识别2种粗细的笔头。</w:t>
            </w:r>
          </w:p>
          <w:p>
            <w:pPr>
              <w:numPr>
                <w:ilvl w:val="0"/>
                <w:numId w:val="28"/>
              </w:numPr>
              <w:wordWrap w:val="0"/>
              <w:spacing w:line="360" w:lineRule="exact"/>
              <w:rPr>
                <w:rFonts w:cs="宋体"/>
                <w:bCs/>
                <w:color w:val="auto"/>
                <w:kern w:val="0"/>
                <w:sz w:val="21"/>
                <w:szCs w:val="21"/>
                <w:highlight w:val="none"/>
              </w:rPr>
            </w:pPr>
            <w:r>
              <w:rPr>
                <w:rFonts w:hint="eastAsia" w:cs="宋体"/>
                <w:color w:val="auto"/>
                <w:kern w:val="0"/>
                <w:sz w:val="21"/>
                <w:szCs w:val="21"/>
                <w:highlight w:val="none"/>
              </w:rPr>
              <w:t>平台系统主板的ROM不小于2G，RAM不小于16G，版本不低于8.0；不低于I5处理器，≥4G内存，≥128G固态硬盘。具有手势息屏/唤醒功能，任意通道下，可通过五指手势息屏与唤醒功能。具有磁吸触控笔存放功能，在正前方下框支设定磁吸触控笔区域。需具备批注功能，整机任意通道下可调用批注功能，批注功能可调节笔型、颜色、粗细；支持手势擦除、保存文件等。需具备微课的录制功能，通过启动录屏功能，开启后，可对日常教学过程中的屏幕进行录制，形成视频文件，保存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20</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电池管理系统平台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电池单体额定容量：20Ah；额定电压：3.2V；持续最大放电倍率：3C；瞬间最大放电倍率：6C。动力电池总成标称电压：60V；额定电流：80A；电池容量：40Ah；保护壳：钢制全防水；安全接头：IP67；高压关断：集成MSD开关到电池箱侧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21</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动力电机管理系统平台</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电机系统额定电压：60V；额定功率：3kW；额定转速：3000r/min；绝缘等级：H级；额定电流：56A；防护等级：IP55；冷却方式：自然冷却。PEU控制器额定输入电压：60V；额定输出电流：50A；额定功率：3kW；冷却方式：自然冷却；与外界通讯方式：CAN；工作温度：-20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22</w:t>
            </w:r>
          </w:p>
        </w:tc>
        <w:tc>
          <w:tcPr>
            <w:tcW w:w="673" w:type="pct"/>
            <w:vAlign w:val="center"/>
          </w:tcPr>
          <w:p>
            <w:pPr>
              <w:wordWrap w:val="0"/>
              <w:spacing w:line="360" w:lineRule="exact"/>
              <w:jc w:val="center"/>
              <w:rPr>
                <w:rFonts w:cs="宋体"/>
                <w:color w:val="auto"/>
                <w:kern w:val="0"/>
                <w:sz w:val="21"/>
                <w:szCs w:val="21"/>
                <w:highlight w:val="none"/>
              </w:rPr>
            </w:pPr>
            <w:r>
              <w:rPr>
                <w:rFonts w:hint="eastAsia" w:cs="宋体"/>
                <w:color w:val="auto"/>
                <w:kern w:val="0"/>
                <w:sz w:val="21"/>
                <w:szCs w:val="21"/>
                <w:highlight w:val="none"/>
              </w:rPr>
              <w:t>车辆控制器</w:t>
            </w:r>
          </w:p>
        </w:tc>
        <w:tc>
          <w:tcPr>
            <w:tcW w:w="4005" w:type="pct"/>
            <w:vAlign w:val="center"/>
          </w:tcPr>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能控制车辆点火开关；实现动力电池上、下电控制；实现车辆行驶方向(前进、倒退)控制；能控制车辆速度和功率；能实现车辆充电控制；能实现CAN总线数据通信控制。</w:t>
            </w:r>
          </w:p>
          <w:p>
            <w:pPr>
              <w:numPr>
                <w:ilvl w:val="0"/>
                <w:numId w:val="28"/>
              </w:numPr>
              <w:wordWrap w:val="0"/>
              <w:spacing w:line="360" w:lineRule="exact"/>
              <w:rPr>
                <w:rFonts w:cs="宋体"/>
                <w:color w:val="auto"/>
                <w:kern w:val="0"/>
                <w:sz w:val="21"/>
                <w:szCs w:val="21"/>
                <w:highlight w:val="none"/>
              </w:rPr>
            </w:pPr>
            <w:r>
              <w:rPr>
                <w:rFonts w:hint="eastAsia" w:cs="宋体"/>
                <w:color w:val="auto"/>
                <w:kern w:val="0"/>
                <w:sz w:val="21"/>
                <w:szCs w:val="21"/>
                <w:highlight w:val="none"/>
              </w:rPr>
              <w:t>控制器可以进行远程数据传输及竞赛辅助功能、车辆状态检测GPS数据发送、感应记圈功能。电池输出最大电流50A；车辆60V-12V的DC-DC变换器控制、能显示车辆运行状态。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pPr>
              <w:wordWrap w:val="0"/>
              <w:spacing w:line="360" w:lineRule="exact"/>
              <w:rPr>
                <w:rFonts w:cs="宋体"/>
                <w:color w:val="auto"/>
                <w:kern w:val="0"/>
                <w:sz w:val="21"/>
                <w:szCs w:val="21"/>
                <w:highlight w:val="none"/>
              </w:rPr>
            </w:pPr>
            <w:bookmarkStart w:id="1039" w:name="_Toc22279"/>
            <w:bookmarkStart w:id="1040" w:name="_Toc26825"/>
            <w:bookmarkStart w:id="1041" w:name="_Toc12357"/>
            <w:bookmarkStart w:id="1042" w:name="_Toc3071"/>
            <w:r>
              <w:rPr>
                <w:rFonts w:hint="eastAsia" w:cs="宋体"/>
                <w:b/>
                <w:bCs/>
                <w:color w:val="auto"/>
                <w:kern w:val="0"/>
                <w:sz w:val="21"/>
                <w:szCs w:val="21"/>
                <w:highlight w:val="none"/>
              </w:rPr>
              <w:t>注：上述所有参数，采购人有权利在签订合同前要求中标人提供相关证明材料的原件查验；软件部分采购人有权利要求中标人在签订合同前提供相关功能的现场演示；如中标人未提供则视为虚假投标，取消中标资格。</w:t>
            </w:r>
          </w:p>
        </w:tc>
      </w:tr>
    </w:tbl>
    <w:p>
      <w:pPr>
        <w:numPr>
          <w:ilvl w:val="1"/>
          <w:numId w:val="27"/>
        </w:numPr>
        <w:wordWrap w:val="0"/>
        <w:topLinePunct/>
        <w:ind w:firstLine="482" w:firstLineChars="200"/>
        <w:outlineLvl w:val="1"/>
        <w:rPr>
          <w:rFonts w:cs="宋体"/>
          <w:b/>
          <w:color w:val="auto"/>
          <w:highlight w:val="none"/>
        </w:rPr>
      </w:pPr>
      <w:bookmarkStart w:id="1043" w:name="_Toc7285"/>
      <w:r>
        <w:rPr>
          <w:rFonts w:hint="eastAsia" w:cs="宋体"/>
          <w:b/>
          <w:color w:val="auto"/>
          <w:highlight w:val="none"/>
        </w:rPr>
        <w:t>商务要求</w:t>
      </w:r>
      <w:bookmarkEnd w:id="1039"/>
      <w:bookmarkEnd w:id="1040"/>
      <w:bookmarkEnd w:id="1041"/>
      <w:bookmarkEnd w:id="1042"/>
      <w:bookmarkEnd w:id="1043"/>
    </w:p>
    <w:p>
      <w:pPr>
        <w:numPr>
          <w:ilvl w:val="2"/>
          <w:numId w:val="29"/>
        </w:numPr>
        <w:wordWrap w:val="0"/>
        <w:topLinePunct/>
        <w:ind w:firstLine="480" w:firstLineChars="200"/>
        <w:outlineLvl w:val="2"/>
        <w:rPr>
          <w:rFonts w:cs="宋体"/>
          <w:b/>
          <w:snapToGrid w:val="0"/>
          <w:color w:val="auto"/>
          <w:highlight w:val="none"/>
        </w:rPr>
      </w:pPr>
      <w:bookmarkStart w:id="1044" w:name="_Toc23659"/>
      <w:bookmarkStart w:id="1045" w:name="_Toc25682"/>
      <w:bookmarkStart w:id="1046" w:name="_Toc18243"/>
      <w:bookmarkStart w:id="1047" w:name="_Toc25418"/>
      <w:bookmarkStart w:id="1048" w:name="_Toc31489"/>
      <w:bookmarkStart w:id="1049" w:name="_Toc17807"/>
      <w:bookmarkStart w:id="1050" w:name="_Toc14897"/>
      <w:bookmarkStart w:id="1051" w:name="_Toc31931"/>
      <w:bookmarkStart w:id="1052" w:name="_Toc19820"/>
      <w:bookmarkStart w:id="1053" w:name="_Toc24732"/>
      <w:bookmarkStart w:id="1054" w:name="_Toc16792"/>
      <w:bookmarkStart w:id="1055" w:name="_Toc28252"/>
      <w:r>
        <w:rPr>
          <w:rFonts w:hint="eastAsia" w:cs="宋体"/>
          <w:color w:val="auto"/>
          <w:highlight w:val="none"/>
        </w:rPr>
        <w:t>★</w:t>
      </w:r>
      <w:r>
        <w:rPr>
          <w:rFonts w:hint="eastAsia" w:cs="宋体"/>
          <w:b/>
          <w:snapToGrid w:val="0"/>
          <w:color w:val="auto"/>
          <w:highlight w:val="none"/>
        </w:rPr>
        <w:t>履约时间和地点</w:t>
      </w:r>
      <w:bookmarkEnd w:id="1044"/>
      <w:bookmarkEnd w:id="1045"/>
      <w:bookmarkEnd w:id="1046"/>
      <w:bookmarkEnd w:id="1047"/>
      <w:bookmarkEnd w:id="1048"/>
      <w:bookmarkEnd w:id="1049"/>
      <w:bookmarkEnd w:id="1050"/>
      <w:bookmarkEnd w:id="1051"/>
      <w:bookmarkEnd w:id="1052"/>
      <w:bookmarkEnd w:id="1053"/>
      <w:bookmarkEnd w:id="1054"/>
      <w:bookmarkEnd w:id="1055"/>
    </w:p>
    <w:p>
      <w:pPr>
        <w:numPr>
          <w:ilvl w:val="3"/>
          <w:numId w:val="29"/>
        </w:numPr>
        <w:wordWrap w:val="0"/>
        <w:topLinePunct/>
        <w:ind w:firstLine="480" w:firstLineChars="200"/>
        <w:rPr>
          <w:rFonts w:cs="宋体"/>
          <w:color w:val="auto"/>
          <w:highlight w:val="none"/>
        </w:rPr>
      </w:pPr>
      <w:r>
        <w:rPr>
          <w:rFonts w:hint="eastAsia" w:cs="宋体"/>
          <w:color w:val="auto"/>
          <w:highlight w:val="none"/>
        </w:rPr>
        <w:t>履约时间：</w:t>
      </w:r>
    </w:p>
    <w:p>
      <w:pPr>
        <w:wordWrap w:val="0"/>
        <w:topLinePunct/>
        <w:ind w:firstLine="480" w:firstLineChars="200"/>
        <w:rPr>
          <w:rFonts w:cs="宋体"/>
          <w:color w:val="auto"/>
          <w:highlight w:val="none"/>
        </w:rPr>
      </w:pPr>
      <w:r>
        <w:rPr>
          <w:rFonts w:hint="eastAsia" w:cs="宋体"/>
          <w:color w:val="auto"/>
          <w:highlight w:val="none"/>
        </w:rPr>
        <w:t>1.1合同签订之日起</w:t>
      </w:r>
      <w:r>
        <w:rPr>
          <w:rFonts w:cs="宋体"/>
          <w:color w:val="auto"/>
          <w:highlight w:val="none"/>
        </w:rPr>
        <w:t>30</w:t>
      </w:r>
      <w:r>
        <w:rPr>
          <w:rFonts w:hint="eastAsia" w:cs="宋体"/>
          <w:color w:val="auto"/>
          <w:highlight w:val="none"/>
        </w:rPr>
        <w:t>日历天内(含法定节假日),在采购人指定交货地点完成所有设备的送货、安装、调试、培训工作。</w:t>
      </w:r>
    </w:p>
    <w:p>
      <w:pPr>
        <w:wordWrap w:val="0"/>
        <w:topLinePunct/>
        <w:ind w:firstLine="480" w:firstLineChars="200"/>
        <w:rPr>
          <w:rFonts w:cs="宋体"/>
          <w:color w:val="auto"/>
          <w:highlight w:val="none"/>
        </w:rPr>
      </w:pPr>
      <w:r>
        <w:rPr>
          <w:rFonts w:hint="eastAsia" w:cs="宋体"/>
          <w:color w:val="auto"/>
          <w:highlight w:val="none"/>
        </w:rPr>
        <w:t>1.2售后服务时间：投标人提供一年的售后服务，售后服务期的起始日期为采购人现场设备验收合格之日起开始计算。</w:t>
      </w:r>
    </w:p>
    <w:p>
      <w:pPr>
        <w:numPr>
          <w:ilvl w:val="3"/>
          <w:numId w:val="29"/>
        </w:numPr>
        <w:wordWrap w:val="0"/>
        <w:topLinePunct/>
        <w:ind w:firstLine="480" w:firstLineChars="200"/>
        <w:rPr>
          <w:rFonts w:cs="宋体"/>
          <w:color w:val="auto"/>
          <w:highlight w:val="none"/>
        </w:rPr>
      </w:pPr>
      <w:r>
        <w:rPr>
          <w:rFonts w:hint="eastAsia" w:cs="宋体"/>
          <w:color w:val="auto"/>
          <w:highlight w:val="none"/>
        </w:rPr>
        <w:t>履约地点：四川省成都市郫都区红光街道蒋桥路88号。</w:t>
      </w:r>
    </w:p>
    <w:p>
      <w:pPr>
        <w:numPr>
          <w:ilvl w:val="2"/>
          <w:numId w:val="29"/>
        </w:numPr>
        <w:wordWrap w:val="0"/>
        <w:topLinePunct/>
        <w:ind w:firstLine="480" w:firstLineChars="200"/>
        <w:outlineLvl w:val="2"/>
        <w:rPr>
          <w:rFonts w:cs="宋体"/>
          <w:b/>
          <w:snapToGrid w:val="0"/>
          <w:color w:val="auto"/>
          <w:highlight w:val="none"/>
        </w:rPr>
      </w:pPr>
      <w:bookmarkStart w:id="1056" w:name="_Toc7227"/>
      <w:bookmarkStart w:id="1057" w:name="_Toc16090"/>
      <w:bookmarkStart w:id="1058" w:name="_Toc13578"/>
      <w:bookmarkStart w:id="1059" w:name="_Toc14156"/>
      <w:bookmarkStart w:id="1060" w:name="_Toc6612"/>
      <w:bookmarkStart w:id="1061" w:name="_Toc2402"/>
      <w:bookmarkStart w:id="1062" w:name="_Toc26759"/>
      <w:bookmarkStart w:id="1063" w:name="_Toc3476"/>
      <w:bookmarkStart w:id="1064" w:name="_Toc32708"/>
      <w:bookmarkStart w:id="1065" w:name="_Toc20440"/>
      <w:bookmarkStart w:id="1066" w:name="_Toc29382"/>
      <w:bookmarkStart w:id="1067" w:name="_Toc16554"/>
      <w:r>
        <w:rPr>
          <w:rFonts w:hint="eastAsia" w:cs="宋体"/>
          <w:color w:val="auto"/>
          <w:highlight w:val="none"/>
        </w:rPr>
        <w:t>★</w:t>
      </w:r>
      <w:r>
        <w:rPr>
          <w:rFonts w:hint="eastAsia" w:cs="宋体"/>
          <w:b/>
          <w:snapToGrid w:val="0"/>
          <w:color w:val="auto"/>
          <w:highlight w:val="none"/>
        </w:rPr>
        <w:t>合同价款</w:t>
      </w:r>
      <w:bookmarkEnd w:id="1056"/>
      <w:bookmarkEnd w:id="1057"/>
      <w:bookmarkEnd w:id="1058"/>
      <w:bookmarkEnd w:id="1059"/>
      <w:bookmarkEnd w:id="1060"/>
      <w:bookmarkEnd w:id="1061"/>
      <w:bookmarkEnd w:id="1062"/>
      <w:bookmarkEnd w:id="1063"/>
      <w:bookmarkEnd w:id="1064"/>
      <w:bookmarkEnd w:id="1065"/>
      <w:bookmarkEnd w:id="1066"/>
      <w:bookmarkEnd w:id="1067"/>
    </w:p>
    <w:p>
      <w:pPr>
        <w:wordWrap w:val="0"/>
        <w:topLinePunct/>
        <w:ind w:firstLine="480" w:firstLineChars="200"/>
        <w:rPr>
          <w:rFonts w:cs="宋体"/>
          <w:color w:val="auto"/>
          <w:highlight w:val="none"/>
        </w:rPr>
      </w:pPr>
      <w:r>
        <w:rPr>
          <w:rFonts w:hint="eastAsia" w:cs="宋体"/>
          <w:color w:val="auto"/>
          <w:highlight w:val="none"/>
        </w:rPr>
        <w:t>合同价为固定包干价格，包括但不限于设备的供货、包装、运输、安装、调试、培训、售后服务、税费等与完成本项目有关的所有费用。本项目的合同执行期间合同总价不变，采购人无须另向投标人支付本合同规定之外的其他任何费用。</w:t>
      </w:r>
    </w:p>
    <w:p>
      <w:pPr>
        <w:numPr>
          <w:ilvl w:val="2"/>
          <w:numId w:val="29"/>
        </w:numPr>
        <w:wordWrap w:val="0"/>
        <w:topLinePunct/>
        <w:ind w:firstLine="480" w:firstLineChars="200"/>
        <w:outlineLvl w:val="2"/>
        <w:rPr>
          <w:rFonts w:cs="宋体"/>
          <w:b/>
          <w:snapToGrid w:val="0"/>
          <w:color w:val="auto"/>
          <w:highlight w:val="none"/>
        </w:rPr>
      </w:pPr>
      <w:bookmarkStart w:id="1068" w:name="_Toc31696"/>
      <w:bookmarkStart w:id="1069" w:name="_Toc25145"/>
      <w:bookmarkStart w:id="1070" w:name="_Toc3548"/>
      <w:bookmarkStart w:id="1071" w:name="_Toc25281"/>
      <w:bookmarkStart w:id="1072" w:name="_Toc30160"/>
      <w:bookmarkStart w:id="1073" w:name="_Toc7892"/>
      <w:bookmarkStart w:id="1074" w:name="_Toc3719"/>
      <w:bookmarkStart w:id="1075" w:name="_Toc5890"/>
      <w:bookmarkStart w:id="1076" w:name="_Toc2875"/>
      <w:bookmarkStart w:id="1077" w:name="_Toc17572"/>
      <w:bookmarkStart w:id="1078" w:name="_Toc357"/>
      <w:bookmarkStart w:id="1079" w:name="_Toc10878"/>
      <w:r>
        <w:rPr>
          <w:rFonts w:hint="eastAsia" w:cs="宋体"/>
          <w:color w:val="auto"/>
          <w:highlight w:val="none"/>
        </w:rPr>
        <w:t>★</w:t>
      </w:r>
      <w:r>
        <w:rPr>
          <w:rFonts w:hint="eastAsia" w:cs="宋体"/>
          <w:b/>
          <w:snapToGrid w:val="0"/>
          <w:color w:val="auto"/>
          <w:highlight w:val="none"/>
        </w:rPr>
        <w:t>付款方式</w:t>
      </w:r>
      <w:bookmarkEnd w:id="1068"/>
      <w:bookmarkEnd w:id="1069"/>
      <w:bookmarkEnd w:id="1070"/>
      <w:bookmarkEnd w:id="1071"/>
      <w:bookmarkEnd w:id="1072"/>
      <w:bookmarkEnd w:id="1073"/>
      <w:bookmarkEnd w:id="1074"/>
      <w:bookmarkEnd w:id="1075"/>
      <w:bookmarkEnd w:id="1076"/>
      <w:bookmarkEnd w:id="1077"/>
      <w:bookmarkEnd w:id="1078"/>
      <w:bookmarkEnd w:id="1079"/>
    </w:p>
    <w:p>
      <w:pPr>
        <w:wordWrap w:val="0"/>
        <w:adjustRightInd/>
        <w:snapToGrid/>
        <w:ind w:firstLine="480" w:firstLineChars="200"/>
        <w:jc w:val="both"/>
        <w:rPr>
          <w:rFonts w:cs="宋体"/>
          <w:color w:val="auto"/>
          <w:highlight w:val="none"/>
        </w:rPr>
      </w:pPr>
      <w:r>
        <w:rPr>
          <w:rFonts w:hint="eastAsia" w:cs="宋体"/>
          <w:color w:val="auto"/>
          <w:highlight w:val="none"/>
        </w:rPr>
        <w:t>1.中标人将货物运输到采购人指定地点，安装、调试、培训完毕且货物经采购人验收合格后，采购人自收到中标人提供的符合采购人财务要求且合法有效完整的等额完税发票之日起30个日历天内支付合同总金额的百分之百的合同款；若收到投标人发票之日早于货物验收合格之日，则自货物验收合格之日起30个日历天内支付。</w:t>
      </w:r>
    </w:p>
    <w:p>
      <w:pPr>
        <w:wordWrap w:val="0"/>
        <w:adjustRightInd/>
        <w:snapToGrid/>
        <w:ind w:firstLine="480" w:firstLineChars="200"/>
        <w:jc w:val="both"/>
        <w:rPr>
          <w:rFonts w:cs="宋体"/>
          <w:color w:val="auto"/>
          <w:highlight w:val="none"/>
        </w:rPr>
      </w:pPr>
      <w:r>
        <w:rPr>
          <w:rFonts w:hint="eastAsia" w:cs="宋体"/>
          <w:color w:val="auto"/>
          <w:highlight w:val="none"/>
        </w:rPr>
        <w:t>2.中标人未提供增值税普通发票，或发票经国税网验审不合格的，或者中标人提供的发票不满足采购人财务要求的，采购人有权拒付且不承担任何逾期付款的责任。</w:t>
      </w:r>
    </w:p>
    <w:p>
      <w:pPr>
        <w:wordWrap w:val="0"/>
        <w:adjustRightInd/>
        <w:snapToGrid/>
        <w:ind w:firstLine="480" w:firstLineChars="200"/>
        <w:jc w:val="both"/>
        <w:rPr>
          <w:rFonts w:cs="宋体"/>
          <w:color w:val="auto"/>
          <w:highlight w:val="none"/>
        </w:rPr>
      </w:pPr>
      <w:r>
        <w:rPr>
          <w:rFonts w:hint="eastAsia" w:cs="宋体"/>
          <w:color w:val="auto"/>
          <w:highlight w:val="none"/>
        </w:rPr>
        <w:t>3.中标人保证提供的银行账户信息真实有效，如果投标人账户信息更改，需要在采购人付款前10个日历天内告知采购人，若因投标人原因导致采购人无法付款或错误付款，后果由投标人自行承担。</w:t>
      </w:r>
    </w:p>
    <w:p>
      <w:pPr>
        <w:numPr>
          <w:ilvl w:val="2"/>
          <w:numId w:val="29"/>
        </w:numPr>
        <w:wordWrap w:val="0"/>
        <w:topLinePunct/>
        <w:ind w:firstLine="480" w:firstLineChars="200"/>
        <w:outlineLvl w:val="2"/>
        <w:rPr>
          <w:rFonts w:cs="宋体"/>
          <w:b/>
          <w:snapToGrid w:val="0"/>
          <w:color w:val="auto"/>
          <w:highlight w:val="none"/>
        </w:rPr>
      </w:pPr>
      <w:bookmarkStart w:id="1080" w:name="_Toc16579"/>
      <w:r>
        <w:rPr>
          <w:rFonts w:hint="eastAsia" w:cs="宋体"/>
          <w:color w:val="auto"/>
          <w:highlight w:val="none"/>
        </w:rPr>
        <w:t>★</w:t>
      </w:r>
      <w:r>
        <w:rPr>
          <w:rFonts w:hint="eastAsia" w:cs="宋体"/>
          <w:b/>
          <w:snapToGrid w:val="0"/>
          <w:color w:val="auto"/>
          <w:highlight w:val="none"/>
        </w:rPr>
        <w:t>质量、包装、运输及安装要求</w:t>
      </w:r>
      <w:bookmarkEnd w:id="1080"/>
    </w:p>
    <w:p>
      <w:pPr>
        <w:wordWrap w:val="0"/>
        <w:ind w:firstLine="480" w:firstLineChars="200"/>
        <w:jc w:val="both"/>
        <w:rPr>
          <w:rFonts w:cs="宋体"/>
          <w:color w:val="auto"/>
          <w:highlight w:val="none"/>
        </w:rPr>
      </w:pPr>
      <w:r>
        <w:rPr>
          <w:rFonts w:hint="eastAsia" w:cs="宋体"/>
          <w:color w:val="auto"/>
          <w:highlight w:val="none"/>
        </w:rPr>
        <w:t>1.投标人应保证货物(含零部件、配件等)是全新、未拆封、未使用过的原装合格正品，表面无划伤、无碰撞痕迹，</w:t>
      </w:r>
      <w:bookmarkStart w:id="1081" w:name="_Hlk85658320"/>
      <w:r>
        <w:rPr>
          <w:rFonts w:hint="eastAsia" w:cs="宋体"/>
          <w:color w:val="auto"/>
          <w:highlight w:val="none"/>
        </w:rPr>
        <w:t>货物权属清楚且满足采购人使用需求</w:t>
      </w:r>
      <w:bookmarkEnd w:id="1081"/>
      <w:r>
        <w:rPr>
          <w:rFonts w:hint="eastAsia" w:cs="宋体"/>
          <w:color w:val="auto"/>
          <w:highlight w:val="none"/>
        </w:rPr>
        <w:t>，不得侵害他人的知识产权。</w:t>
      </w:r>
    </w:p>
    <w:p>
      <w:pPr>
        <w:wordWrap w:val="0"/>
        <w:ind w:firstLine="480" w:firstLineChars="200"/>
        <w:jc w:val="both"/>
        <w:rPr>
          <w:rFonts w:cs="宋体"/>
          <w:color w:val="auto"/>
          <w:highlight w:val="none"/>
        </w:rPr>
      </w:pPr>
      <w:r>
        <w:rPr>
          <w:rFonts w:hint="eastAsia" w:cs="宋体"/>
          <w:color w:val="auto"/>
          <w:highlight w:val="none"/>
        </w:rPr>
        <w:t>2.投标人提供的货物必须国家标准(行业标准)以及采购人的招标文件和投标人的响应文件规定的的质量和规格的要求。若投标人提供的产品的质量或规格与招标文件和投标人的投标文件不符，或证实产品是有缺陷的，包括潜在的缺陷或使用不符合要求的产品等，投标人应在接到采购人书面通知后15个日历天内完成换货，因换货产生的费用均由投标人承担，如因不合格产品给采购人造成损失，投标人还应承担赔偿责任。</w:t>
      </w:r>
    </w:p>
    <w:p>
      <w:pPr>
        <w:wordWrap w:val="0"/>
        <w:ind w:firstLine="480" w:firstLineChars="200"/>
        <w:jc w:val="both"/>
        <w:rPr>
          <w:rFonts w:cs="宋体"/>
          <w:color w:val="auto"/>
          <w:highlight w:val="none"/>
        </w:rPr>
      </w:pPr>
      <w:r>
        <w:rPr>
          <w:rFonts w:hint="eastAsia" w:cs="宋体"/>
          <w:color w:val="auto"/>
          <w:highlight w:val="none"/>
        </w:rPr>
        <w:t>3.投标人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投标人承担。</w:t>
      </w:r>
    </w:p>
    <w:p>
      <w:pPr>
        <w:wordWrap w:val="0"/>
        <w:ind w:firstLine="480" w:firstLineChars="200"/>
        <w:jc w:val="both"/>
        <w:rPr>
          <w:rFonts w:cs="宋体"/>
          <w:color w:val="auto"/>
          <w:highlight w:val="none"/>
        </w:rPr>
      </w:pPr>
      <w:r>
        <w:rPr>
          <w:rFonts w:hint="eastAsia" w:cs="宋体"/>
          <w:color w:val="auto"/>
          <w:highlight w:val="none"/>
        </w:rPr>
        <w:t>4.采用木质框架包装，每一包装单元内应附详细的装箱单和质量合格凭证。</w:t>
      </w:r>
    </w:p>
    <w:p>
      <w:pPr>
        <w:wordWrap w:val="0"/>
        <w:ind w:firstLine="480" w:firstLineChars="200"/>
        <w:jc w:val="both"/>
        <w:rPr>
          <w:rFonts w:cs="宋体"/>
          <w:color w:val="auto"/>
          <w:highlight w:val="none"/>
        </w:rPr>
      </w:pPr>
      <w:r>
        <w:rPr>
          <w:rFonts w:hint="eastAsia" w:cs="宋体"/>
          <w:color w:val="auto"/>
          <w:highlight w:val="none"/>
        </w:rPr>
        <w:t>5.投标人将所有设备送达学校采购人指定地点后按照采购人确定的方案进行安装、调试等工作</w:t>
      </w:r>
    </w:p>
    <w:p>
      <w:pPr>
        <w:wordWrap w:val="0"/>
        <w:ind w:firstLine="480" w:firstLineChars="200"/>
        <w:jc w:val="both"/>
        <w:rPr>
          <w:rFonts w:cs="宋体"/>
          <w:color w:val="auto"/>
          <w:highlight w:val="none"/>
        </w:rPr>
      </w:pPr>
      <w:r>
        <w:rPr>
          <w:rFonts w:hint="eastAsia" w:cs="宋体"/>
          <w:color w:val="auto"/>
          <w:highlight w:val="none"/>
        </w:rPr>
        <w:t>6.投标人严格按照国家相关规范进行安装和调试。</w:t>
      </w:r>
    </w:p>
    <w:p>
      <w:pPr>
        <w:numPr>
          <w:ilvl w:val="2"/>
          <w:numId w:val="29"/>
        </w:numPr>
        <w:wordWrap w:val="0"/>
        <w:topLinePunct/>
        <w:ind w:firstLine="480" w:firstLineChars="200"/>
        <w:outlineLvl w:val="2"/>
        <w:rPr>
          <w:rFonts w:cs="宋体"/>
          <w:b/>
          <w:snapToGrid w:val="0"/>
          <w:color w:val="auto"/>
          <w:highlight w:val="none"/>
        </w:rPr>
      </w:pPr>
      <w:bookmarkStart w:id="1082" w:name="_Toc19237"/>
      <w:r>
        <w:rPr>
          <w:rFonts w:hint="eastAsia" w:cs="宋体"/>
          <w:color w:val="auto"/>
          <w:highlight w:val="none"/>
        </w:rPr>
        <w:t>★</w:t>
      </w:r>
      <w:r>
        <w:rPr>
          <w:rFonts w:hint="eastAsia" w:cs="宋体"/>
          <w:b/>
          <w:snapToGrid w:val="0"/>
          <w:color w:val="auto"/>
          <w:highlight w:val="none"/>
        </w:rPr>
        <w:t>售后服务要求</w:t>
      </w:r>
      <w:bookmarkEnd w:id="1082"/>
    </w:p>
    <w:p>
      <w:pPr>
        <w:wordWrap w:val="0"/>
        <w:snapToGrid/>
        <w:ind w:firstLine="480" w:firstLineChars="200"/>
        <w:rPr>
          <w:rFonts w:cs="宋体"/>
          <w:color w:val="auto"/>
          <w:highlight w:val="none"/>
        </w:rPr>
      </w:pPr>
      <w:bookmarkStart w:id="1083" w:name="_Toc16796_WPSOffice_Level2"/>
      <w:r>
        <w:rPr>
          <w:rFonts w:hint="eastAsia" w:cs="宋体"/>
          <w:color w:val="auto"/>
          <w:highlight w:val="none"/>
        </w:rPr>
        <w:t>1.售后服务分电话(含网络)服务和上门服务。售后服务期内，投标人在接到采购人故障报修后能在2小时内通过电话(含网络)服务排除故障的，则无需上门服务。若在规定时间内不能通过电话(含网络)服务排除故障的，投标人应在故障报修后的12小时内到达现场，到达现场后24小时内排除故障(若涉及主要零件更换或者返厂维修的故障排除时间由双方协商确定)。</w:t>
      </w:r>
    </w:p>
    <w:p>
      <w:pPr>
        <w:wordWrap w:val="0"/>
        <w:snapToGrid/>
        <w:ind w:firstLine="480" w:firstLineChars="200"/>
        <w:rPr>
          <w:rFonts w:cs="宋体"/>
          <w:color w:val="auto"/>
          <w:highlight w:val="none"/>
        </w:rPr>
      </w:pPr>
      <w:r>
        <w:rPr>
          <w:rFonts w:hint="eastAsia" w:cs="宋体"/>
          <w:color w:val="auto"/>
          <w:highlight w:val="none"/>
        </w:rPr>
        <w:t>2.售后服务期内投标人应为本项目所有设备以及软件提供巡检服务，每间隔6月巡检一次，且每次巡检结束后5个工作日内提供每套设备的详细巡检情况记录并加盖投标人公章。</w:t>
      </w:r>
    </w:p>
    <w:p>
      <w:pPr>
        <w:wordWrap w:val="0"/>
        <w:snapToGrid/>
        <w:ind w:firstLine="480" w:firstLineChars="200"/>
        <w:rPr>
          <w:rFonts w:cs="宋体"/>
          <w:color w:val="auto"/>
          <w:highlight w:val="none"/>
        </w:rPr>
      </w:pPr>
      <w:r>
        <w:rPr>
          <w:rFonts w:hint="eastAsia" w:cs="宋体"/>
          <w:color w:val="auto"/>
          <w:highlight w:val="none"/>
        </w:rPr>
        <w:t>3.项目实施过程中投标人对采购人原场地、设施进行有效保护，如有损坏的应负责修复，无法修复的设施</w:t>
      </w:r>
      <w:r>
        <w:rPr>
          <w:rFonts w:hint="eastAsia" w:ascii="宋体" w:hAnsi="宋体" w:eastAsia="宋体" w:cs="宋体"/>
          <w:color w:val="auto"/>
          <w:highlight w:val="none"/>
        </w:rPr>
        <w:t>设备，投标人应免费更换全新的设施设备，并对造成的损失进行赔偿。</w:t>
      </w:r>
    </w:p>
    <w:p>
      <w:pPr>
        <w:wordWrap w:val="0"/>
        <w:snapToGrid/>
        <w:ind w:firstLine="480" w:firstLineChars="200"/>
        <w:rPr>
          <w:rFonts w:cs="宋体"/>
          <w:color w:val="auto"/>
          <w:highlight w:val="none"/>
        </w:rPr>
      </w:pPr>
      <w:r>
        <w:rPr>
          <w:rFonts w:hint="eastAsia" w:cs="宋体"/>
          <w:color w:val="auto"/>
          <w:highlight w:val="none"/>
        </w:rPr>
        <w:t>4.售后服务期内，投标人两次维修都不能达到需求的，投标人提供免费更换服务。</w:t>
      </w:r>
    </w:p>
    <w:p>
      <w:pPr>
        <w:wordWrap w:val="0"/>
        <w:snapToGrid/>
        <w:ind w:firstLine="480" w:firstLineChars="200"/>
        <w:rPr>
          <w:rFonts w:cs="宋体"/>
          <w:color w:val="auto"/>
          <w:highlight w:val="none"/>
        </w:rPr>
      </w:pPr>
      <w:r>
        <w:rPr>
          <w:rFonts w:hint="eastAsia" w:cs="宋体"/>
          <w:color w:val="auto"/>
          <w:highlight w:val="none"/>
        </w:rPr>
        <w:t>5.售后服务期内涉及的人工、设备(含零部件、配件、辅材)维护和更换等费用均由投标人承担。</w:t>
      </w:r>
    </w:p>
    <w:p>
      <w:pPr>
        <w:wordWrap w:val="0"/>
        <w:snapToGrid/>
        <w:ind w:firstLine="480" w:firstLineChars="200"/>
        <w:rPr>
          <w:rFonts w:cs="宋体"/>
          <w:color w:val="auto"/>
          <w:highlight w:val="none"/>
        </w:rPr>
      </w:pPr>
      <w:r>
        <w:rPr>
          <w:rFonts w:hint="eastAsia" w:cs="宋体"/>
          <w:color w:val="auto"/>
          <w:highlight w:val="none"/>
        </w:rPr>
        <w:t>6.售后服务期内投标人提供3次现场培训，每次时间不少于2天，包括设备和软件的安装、调试、维护、使用，确保采购人完全掌握设备和软件的各项功能。投标人为所有参培训人员提供文字资料和讲义等培训教材，培训教材以印刷品形式提供，费用由投标人承担。</w:t>
      </w:r>
    </w:p>
    <w:bookmarkEnd w:id="1083"/>
    <w:p>
      <w:pPr>
        <w:numPr>
          <w:ilvl w:val="2"/>
          <w:numId w:val="29"/>
        </w:numPr>
        <w:wordWrap w:val="0"/>
        <w:topLinePunct/>
        <w:ind w:firstLine="480" w:firstLineChars="200"/>
        <w:outlineLvl w:val="2"/>
        <w:rPr>
          <w:rFonts w:cs="宋体"/>
          <w:b/>
          <w:snapToGrid w:val="0"/>
          <w:color w:val="auto"/>
          <w:highlight w:val="none"/>
        </w:rPr>
      </w:pPr>
      <w:bookmarkStart w:id="1084" w:name="_Toc18365"/>
      <w:r>
        <w:rPr>
          <w:rFonts w:hint="eastAsia" w:cs="宋体"/>
          <w:color w:val="auto"/>
          <w:highlight w:val="none"/>
        </w:rPr>
        <w:t>★</w:t>
      </w:r>
      <w:r>
        <w:rPr>
          <w:rFonts w:hint="eastAsia" w:cs="宋体"/>
          <w:b/>
          <w:snapToGrid w:val="0"/>
          <w:color w:val="auto"/>
          <w:highlight w:val="none"/>
        </w:rPr>
        <w:t>其他商务要求</w:t>
      </w:r>
      <w:bookmarkEnd w:id="1084"/>
    </w:p>
    <w:p>
      <w:pPr>
        <w:adjustRightInd/>
        <w:snapToGrid/>
        <w:ind w:firstLine="480" w:firstLineChars="200"/>
        <w:jc w:val="both"/>
        <w:rPr>
          <w:rFonts w:cs="宋体"/>
          <w:color w:val="auto"/>
          <w:highlight w:val="none"/>
        </w:rPr>
      </w:pPr>
      <w:r>
        <w:rPr>
          <w:rFonts w:hint="eastAsia" w:cs="宋体"/>
          <w:color w:val="auto"/>
          <w:highlight w:val="none"/>
        </w:rPr>
        <w:t>1.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采购人因此遭受的损失(包括但不限于因此向第三方支付的赔偿金、违约金等，以及因此支出的诉讼费用、律师费、保全费等)均由投标人承担。</w:t>
      </w:r>
    </w:p>
    <w:p>
      <w:pPr>
        <w:adjustRightInd/>
        <w:snapToGrid/>
        <w:ind w:firstLine="480" w:firstLineChars="200"/>
        <w:jc w:val="both"/>
        <w:rPr>
          <w:rFonts w:cs="宋体"/>
          <w:color w:val="auto"/>
          <w:highlight w:val="none"/>
        </w:rPr>
      </w:pPr>
      <w:r>
        <w:rPr>
          <w:rFonts w:hint="eastAsia" w:cs="宋体"/>
          <w:color w:val="auto"/>
          <w:highlight w:val="none"/>
        </w:rPr>
        <w:t>2.如因投标人工作人员在履行职务过程中的疏忽、失职、过错等故意或者过失原因给采购人造成损失或侵害，包括但不限于采购人本身的财产损失、由此而导致的采购人对任何第三方的法律责任等，投标人对此均应承担全部的赔偿责任。</w:t>
      </w:r>
    </w:p>
    <w:p>
      <w:pPr>
        <w:numPr>
          <w:ilvl w:val="1"/>
          <w:numId w:val="27"/>
        </w:numPr>
        <w:wordWrap w:val="0"/>
        <w:topLinePunct/>
        <w:ind w:firstLine="480" w:firstLineChars="200"/>
        <w:outlineLvl w:val="1"/>
        <w:rPr>
          <w:rFonts w:cs="宋体"/>
          <w:b/>
          <w:color w:val="auto"/>
          <w:highlight w:val="none"/>
        </w:rPr>
      </w:pPr>
      <w:bookmarkStart w:id="1085" w:name="_Toc24364"/>
      <w:r>
        <w:rPr>
          <w:rFonts w:hint="eastAsia" w:cs="宋体"/>
          <w:color w:val="auto"/>
          <w:highlight w:val="none"/>
        </w:rPr>
        <w:t>★</w:t>
      </w:r>
      <w:r>
        <w:rPr>
          <w:rFonts w:hint="eastAsia" w:cs="宋体"/>
          <w:b/>
          <w:color w:val="auto"/>
          <w:highlight w:val="none"/>
        </w:rPr>
        <w:t>履约保证金</w:t>
      </w:r>
      <w:bookmarkEnd w:id="1085"/>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1.本项目履约保证金为中标金额的百分之五，投标人应在中标通知书发出之日起至合同签订前，以支票、汇票、本票或者金融机构出具的保函等非现金形式向采购人交纳规定金额的履约保证金。</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2.履行合同约定(含售后服务)完毕后,无质量问题和违约责任情况，投标人凭“验收报告单”、“收到退还履约保证金的收据”、“履约保证金退还申请”到采购人计财处办理，无息退还。采购人收到投标人提交的履约保证金退还申请等资料并经采购人审核后，30个日历日内退还投标人应退部分履约保证金。因采购人原因逾期退还的，应当以未退还金额为基数，按合同订立时1年期贷款市场报价利率标准向投标人支付相应违约金，但违约金最高不得超过未退还金额的百分之二十。</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3.履约保证金汇入的银行及账号：</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收款账号：成都市技师学院</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开户行：工行成都红光支行</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银行账号：4402054609100031151</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4.如投标人未按时足额向采购人交纳履约保证金，采购人有权按照评审报告确定的投标人选人名单顺序，确定下一候选人为中标投标人，或重新开展政府采购活动。</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5.履约保证金不予退还情形：一是投标人未按合同要求履行的，其履约保证金全部扣除。二是投标人缴纳了履约保证金，但因自身原因被取消中标资格或在中标通知书发出之日起30个日历天(含法定节假日)内投标人不按招标文件确定的事项与采购人签订合同的，其履约保证金不予退还；三是法律法规或合同约定的其他情形。</w:t>
      </w:r>
    </w:p>
    <w:bookmarkEnd w:id="1030"/>
    <w:bookmarkEnd w:id="1031"/>
    <w:p>
      <w:pPr>
        <w:numPr>
          <w:ilvl w:val="1"/>
          <w:numId w:val="27"/>
        </w:numPr>
        <w:wordWrap w:val="0"/>
        <w:topLinePunct/>
        <w:ind w:firstLine="482" w:firstLineChars="200"/>
        <w:outlineLvl w:val="1"/>
        <w:rPr>
          <w:rFonts w:cs="宋体"/>
          <w:b/>
          <w:color w:val="auto"/>
          <w:highlight w:val="none"/>
        </w:rPr>
      </w:pPr>
      <w:bookmarkStart w:id="1086" w:name="_Toc4071"/>
      <w:bookmarkStart w:id="1087" w:name="_Toc28137"/>
      <w:bookmarkStart w:id="1088" w:name="_Toc14651"/>
      <w:bookmarkStart w:id="1089" w:name="_Toc6061"/>
      <w:r>
        <w:rPr>
          <w:rFonts w:hint="eastAsia" w:cs="宋体"/>
          <w:b/>
          <w:color w:val="auto"/>
          <w:highlight w:val="none"/>
        </w:rPr>
        <w:t>履约验收</w:t>
      </w:r>
      <w:bookmarkEnd w:id="1086"/>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1.验收的主体：采购人</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2.验收的时间：</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(1)投标人完成送货、安装、调试、培训工作后，书面通知采购人进行货物验收，采购人收到货物验收申请后7个日历天内组织验收。</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(2)售后服务期结束且采购人收到投标人售后服务整体验收申请之日起7日历天内完成售后服务整体验收。</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3.验收的方式：</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(1)货物验收为现场测试验收。</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(2)售后服务验收为考核验收(投标人每次按照售后服务要求提供服务的视为单次售后服务合格，售后服务期内售后服务合格率[合格的售后服务次数/售后服务总次数]低于百分之九十五视为售后服务不合格)。</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4.验收的程序：</w:t>
      </w:r>
    </w:p>
    <w:p>
      <w:pPr>
        <w:numPr>
          <w:ilvl w:val="1"/>
          <w:numId w:val="0"/>
        </w:numPr>
        <w:wordWrap w:val="0"/>
        <w:topLinePunct/>
        <w:adjustRightInd/>
        <w:snapToGrid/>
        <w:ind w:firstLine="480" w:firstLineChars="200"/>
        <w:jc w:val="both"/>
        <w:rPr>
          <w:rFonts w:cs="宋体"/>
          <w:bCs/>
          <w:color w:val="auto"/>
          <w:highlight w:val="none"/>
        </w:rPr>
      </w:pPr>
      <w:bookmarkStart w:id="1090" w:name="_Hlk85658560"/>
      <w:r>
        <w:rPr>
          <w:rFonts w:hint="eastAsia" w:cs="宋体"/>
          <w:bCs/>
          <w:color w:val="auto"/>
          <w:highlight w:val="none"/>
        </w:rPr>
        <w:t>(1)投标人递交货物验收申请后，采购人组织3人以上的验收小组进行现场测试验收；</w:t>
      </w:r>
      <w:r>
        <w:rPr>
          <w:rFonts w:cs="宋体"/>
          <w:color w:val="auto"/>
          <w:highlight w:val="none"/>
        </w:rPr>
        <w:t>验收合格，则签署《验收报告单》</w:t>
      </w:r>
      <w:r>
        <w:rPr>
          <w:rFonts w:hint="eastAsia" w:cs="宋体"/>
          <w:color w:val="auto"/>
          <w:highlight w:val="none"/>
        </w:rPr>
        <w:t>；</w:t>
      </w:r>
      <w:r>
        <w:rPr>
          <w:rFonts w:hint="eastAsia" w:cs="宋体"/>
          <w:bCs/>
          <w:color w:val="auto"/>
          <w:highlight w:val="none"/>
        </w:rPr>
        <w:t>若验收不合格，投标人应在接到采购人整改通知之日起15个日历天内完成整改，再由采购人组织重新验收，若货物再次验收不合格则视为投标人不能履约，采购人有权终止合同，并按合同约定追究投标人的违约责任。</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(2)单次售后服务完成后，由采购人的经办人现场验收并记录，该记录作为售后服务整体验收的依据，投标人递交售后服务整体验收申请后，采购人组织</w:t>
      </w:r>
      <w:r>
        <w:rPr>
          <w:rFonts w:cs="宋体"/>
          <w:bCs/>
          <w:color w:val="auto"/>
          <w:highlight w:val="none"/>
        </w:rPr>
        <w:t>3人以上的验收小组</w:t>
      </w:r>
      <w:r>
        <w:rPr>
          <w:rFonts w:hint="eastAsia" w:cs="宋体"/>
          <w:bCs/>
          <w:color w:val="auto"/>
          <w:highlight w:val="none"/>
        </w:rPr>
        <w:t>核查售后服务合格率。验收合格，则签署《验收报告单》；若售后服务验收不合格，采购人有权按合同约定追究投标人的违约责任。</w:t>
      </w:r>
    </w:p>
    <w:bookmarkEnd w:id="1090"/>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5.验收的内容：</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 xml:space="preserve">(1)货物验收内容包括品牌、型号、数量、外观、安装调试、合格证书、培训、保修单等每一项技术和商务要求(售后服务除外)的履约情况； </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(2)售后服务验收内容包括售后服务要求中每一项要求的履约情况。</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6.验收的标准：按招标文件的质量要求和技术指标、投标人的响应文件及承诺、合同约定进行验收。其他未尽事宜应按照《财政部关于进一步加强政府采购需求和履约验收管理的指导意见》(财库〔2016〕205 号)的要求进行验收。</w:t>
      </w:r>
    </w:p>
    <w:p>
      <w:pPr>
        <w:numPr>
          <w:ilvl w:val="1"/>
          <w:numId w:val="0"/>
        </w:numPr>
        <w:wordWrap w:val="0"/>
        <w:topLinePunct/>
        <w:adjustRightInd/>
        <w:snapToGrid/>
        <w:ind w:firstLine="480" w:firstLineChars="200"/>
        <w:jc w:val="both"/>
        <w:rPr>
          <w:rFonts w:cs="宋体"/>
          <w:bCs/>
          <w:color w:val="auto"/>
          <w:highlight w:val="none"/>
        </w:rPr>
      </w:pPr>
      <w:r>
        <w:rPr>
          <w:rFonts w:hint="eastAsia" w:cs="宋体"/>
          <w:bCs/>
          <w:color w:val="auto"/>
          <w:highlight w:val="none"/>
        </w:rPr>
        <w:t>7.交付标准及方式：投标人向采购人移交了装箱清单、配件、随机工具、产品的使用说明书、 车辆维修手册(含全车电路图)电子版，并在采购人指定地点完成设备安装、调试、培训工作并经采购人验收合格视为投标人交货。</w:t>
      </w:r>
    </w:p>
    <w:p>
      <w:pPr>
        <w:numPr>
          <w:ilvl w:val="1"/>
          <w:numId w:val="27"/>
        </w:numPr>
        <w:wordWrap w:val="0"/>
        <w:topLinePunct/>
        <w:ind w:firstLine="482" w:firstLineChars="200"/>
        <w:outlineLvl w:val="1"/>
        <w:rPr>
          <w:rFonts w:cs="宋体"/>
          <w:b/>
          <w:color w:val="auto"/>
          <w:highlight w:val="none"/>
        </w:rPr>
      </w:pPr>
      <w:bookmarkStart w:id="1091" w:name="_Toc31887"/>
      <w:r>
        <w:rPr>
          <w:rFonts w:hint="eastAsia" w:cs="宋体"/>
          <w:b/>
          <w:color w:val="auto"/>
          <w:highlight w:val="none"/>
        </w:rPr>
        <w:t>履约要求</w:t>
      </w:r>
      <w:bookmarkEnd w:id="1087"/>
      <w:bookmarkEnd w:id="1088"/>
      <w:bookmarkEnd w:id="1089"/>
      <w:bookmarkEnd w:id="1091"/>
    </w:p>
    <w:p>
      <w:pPr>
        <w:numPr>
          <w:ilvl w:val="1"/>
          <w:numId w:val="30"/>
        </w:numPr>
        <w:wordWrap w:val="0"/>
        <w:topLinePunct/>
        <w:ind w:firstLine="480" w:firstLineChars="200"/>
        <w:jc w:val="both"/>
        <w:rPr>
          <w:rFonts w:cs="宋体"/>
          <w:bCs/>
          <w:color w:val="auto"/>
          <w:highlight w:val="none"/>
        </w:rPr>
      </w:pPr>
      <w:bookmarkStart w:id="1092" w:name="_Toc19234_WPSOffice_Level2"/>
      <w:r>
        <w:rPr>
          <w:rFonts w:hint="eastAsia" w:cs="宋体"/>
          <w:bCs/>
          <w:color w:val="auto"/>
          <w:highlight w:val="none"/>
        </w:rPr>
        <w:t>人员保障：投标人应为本项目配置的服务团队不少于3人，至少1人具备人社部门颁发的三级及以上汽车维修工职业资格证书参与安装调试及货物验收。</w:t>
      </w:r>
    </w:p>
    <w:p>
      <w:pPr>
        <w:numPr>
          <w:ilvl w:val="1"/>
          <w:numId w:val="30"/>
        </w:numPr>
        <w:wordWrap w:val="0"/>
        <w:topLinePunct/>
        <w:ind w:firstLine="480" w:firstLineChars="200"/>
        <w:jc w:val="both"/>
        <w:rPr>
          <w:rFonts w:cs="宋体"/>
          <w:bCs/>
          <w:color w:val="auto"/>
          <w:highlight w:val="none"/>
        </w:rPr>
      </w:pPr>
      <w:r>
        <w:rPr>
          <w:rFonts w:hint="eastAsia" w:cs="宋体"/>
          <w:bCs/>
          <w:color w:val="auto"/>
          <w:highlight w:val="none"/>
          <w:lang w:val="en-US" w:eastAsia="zh-CN"/>
        </w:rPr>
        <w:t>投标人具有类似项目履约经验。</w:t>
      </w:r>
    </w:p>
    <w:p>
      <w:pPr>
        <w:numPr>
          <w:ilvl w:val="1"/>
          <w:numId w:val="30"/>
        </w:numPr>
        <w:wordWrap w:val="0"/>
        <w:topLinePunct/>
        <w:ind w:firstLine="480" w:firstLineChars="200"/>
        <w:jc w:val="both"/>
        <w:rPr>
          <w:rFonts w:cs="宋体"/>
          <w:bCs/>
          <w:color w:val="auto"/>
          <w:highlight w:val="none"/>
        </w:rPr>
      </w:pPr>
      <w:r>
        <w:rPr>
          <w:rFonts w:hint="eastAsia" w:cs="宋体"/>
          <w:bCs/>
          <w:color w:val="auto"/>
          <w:highlight w:val="none"/>
          <w:lang w:val="en-US" w:eastAsia="zh-CN"/>
        </w:rPr>
        <w:t>投标人所投软件具有计算机软件著作权证登记证书。</w:t>
      </w:r>
    </w:p>
    <w:p>
      <w:pPr>
        <w:pStyle w:val="3"/>
        <w:rPr>
          <w:rFonts w:hint="eastAsia"/>
          <w:color w:val="auto"/>
          <w:highlight w:val="none"/>
        </w:rPr>
      </w:pPr>
    </w:p>
    <w:p>
      <w:pPr>
        <w:widowControl/>
        <w:adjustRightInd/>
        <w:snapToGrid/>
        <w:ind w:firstLine="482" w:firstLineChars="200"/>
        <w:jc w:val="both"/>
        <w:rPr>
          <w:rFonts w:cs="宋体"/>
          <w:b/>
          <w:bCs/>
          <w:color w:val="auto"/>
          <w:kern w:val="0"/>
          <w:highlight w:val="none"/>
        </w:rPr>
      </w:pPr>
      <w:r>
        <w:rPr>
          <w:rFonts w:hint="eastAsia" w:cs="宋体"/>
          <w:b/>
          <w:bCs/>
          <w:color w:val="auto"/>
          <w:highlight w:val="none"/>
        </w:rPr>
        <w:t>注：</w:t>
      </w:r>
      <w:r>
        <w:rPr>
          <w:rFonts w:hint="eastAsia" w:cs="宋体"/>
          <w:b/>
          <w:bCs/>
          <w:color w:val="auto"/>
          <w:kern w:val="0"/>
          <w:highlight w:val="none"/>
        </w:rPr>
        <w:t>①投标人应当根据本项目实际情况提供真实、客观的履约能力证明材料。</w:t>
      </w:r>
    </w:p>
    <w:p>
      <w:pPr>
        <w:widowControl/>
        <w:adjustRightInd/>
        <w:snapToGrid/>
        <w:ind w:firstLine="482" w:firstLineChars="200"/>
        <w:jc w:val="both"/>
        <w:rPr>
          <w:rFonts w:cs="宋体"/>
          <w:b/>
          <w:bCs/>
          <w:color w:val="auto"/>
          <w:kern w:val="0"/>
          <w:highlight w:val="none"/>
        </w:rPr>
      </w:pPr>
      <w:r>
        <w:rPr>
          <w:rFonts w:hint="eastAsia" w:cs="宋体"/>
          <w:b/>
          <w:bCs/>
          <w:color w:val="auto"/>
          <w:kern w:val="0"/>
          <w:highlight w:val="none"/>
        </w:rPr>
        <w:t>②投标人应当保证所提交的所有材料的真实性，若提交虚假材料谋取中标的，应当将该供应商按失信行为记入诚信档案。</w:t>
      </w:r>
    </w:p>
    <w:bookmarkEnd w:id="1002"/>
    <w:bookmarkEnd w:id="1003"/>
    <w:bookmarkEnd w:id="1004"/>
    <w:bookmarkEnd w:id="1032"/>
    <w:bookmarkEnd w:id="1033"/>
    <w:bookmarkEnd w:id="1034"/>
    <w:bookmarkEnd w:id="1035"/>
    <w:bookmarkEnd w:id="1036"/>
    <w:bookmarkEnd w:id="1037"/>
    <w:bookmarkEnd w:id="1092"/>
    <w:p>
      <w:pPr>
        <w:wordWrap w:val="0"/>
        <w:topLinePunct/>
        <w:ind w:firstLine="482" w:firstLineChars="200"/>
        <w:rPr>
          <w:rFonts w:cs="宋体"/>
          <w:b/>
          <w:snapToGrid w:val="0"/>
          <w:color w:val="auto"/>
          <w:highlight w:val="none"/>
        </w:rPr>
      </w:pPr>
      <w:bookmarkStart w:id="1093" w:name="_Toc10570"/>
      <w:bookmarkStart w:id="1094" w:name="_Toc32447"/>
      <w:bookmarkStart w:id="1095" w:name="_Toc217446097"/>
      <w:bookmarkStart w:id="1096" w:name="_Toc183682415"/>
      <w:bookmarkStart w:id="1097" w:name="_Toc183582280"/>
      <w:bookmarkStart w:id="1098" w:name="_Toc21302"/>
      <w:bookmarkStart w:id="1099" w:name="_Toc25959"/>
      <w:bookmarkStart w:id="1100" w:name="_Toc26923"/>
      <w:bookmarkStart w:id="1101" w:name="_Toc2232"/>
      <w:bookmarkStart w:id="1102" w:name="_Toc25435"/>
      <w:bookmarkStart w:id="1103" w:name="_Toc208849007"/>
      <w:bookmarkStart w:id="1104" w:name="_Toc319439946"/>
      <w:bookmarkStart w:id="1105" w:name="_Toc307564896"/>
      <w:bookmarkStart w:id="1106" w:name="_Toc3881"/>
      <w:bookmarkStart w:id="1107" w:name="_Toc1543"/>
      <w:bookmarkStart w:id="1108" w:name="_Toc308084645"/>
      <w:bookmarkStart w:id="1109" w:name="_Toc11039"/>
      <w:bookmarkStart w:id="1110" w:name="_Toc319440188"/>
      <w:bookmarkStart w:id="1111" w:name="_Toc327196339"/>
      <w:bookmarkStart w:id="1112" w:name="_Toc483"/>
      <w:bookmarkStart w:id="1113" w:name="_Toc307501154"/>
      <w:bookmarkStart w:id="1114" w:name="_Toc309897563"/>
      <w:bookmarkStart w:id="1115" w:name="_Toc308188198"/>
      <w:bookmarkStart w:id="1116" w:name="_Toc4553"/>
      <w:r>
        <w:rPr>
          <w:rFonts w:hint="eastAsia" w:cs="宋体"/>
          <w:b/>
          <w:snapToGrid w:val="0"/>
          <w:color w:val="auto"/>
          <w:highlight w:val="none"/>
        </w:rPr>
        <w:t>注意：①本章带“</w:t>
      </w:r>
      <w:r>
        <w:rPr>
          <w:rFonts w:hint="eastAsia" w:cs="宋体"/>
          <w:color w:val="auto"/>
          <w:highlight w:val="none"/>
        </w:rPr>
        <w:t>★</w:t>
      </w:r>
      <w:r>
        <w:rPr>
          <w:rFonts w:hint="eastAsia" w:cs="宋体"/>
          <w:b/>
          <w:snapToGrid w:val="0"/>
          <w:color w:val="auto"/>
          <w:highlight w:val="none"/>
        </w:rPr>
        <w:t>”号条款为实质性要求，投标人若未满足的，将被视为无效投标。</w:t>
      </w:r>
    </w:p>
    <w:p>
      <w:pPr>
        <w:pStyle w:val="53"/>
        <w:ind w:firstLine="482"/>
        <w:rPr>
          <w:color w:val="auto"/>
          <w:highlight w:val="none"/>
        </w:rPr>
      </w:pPr>
      <w:r>
        <w:rPr>
          <w:rFonts w:hint="eastAsia" w:cs="宋体"/>
          <w:color w:val="auto"/>
          <w:highlight w:val="none"/>
        </w:rPr>
        <w:t>②本项目涉及企业资质、产品认证、人员执业资格等描述与国家最新要求不一致时以最新要求为准。</w:t>
      </w:r>
    </w:p>
    <w:p>
      <w:pPr>
        <w:rPr>
          <w:color w:val="auto"/>
          <w:highlight w:val="none"/>
        </w:rPr>
      </w:pPr>
    </w:p>
    <w:p>
      <w:pPr>
        <w:rPr>
          <w:color w:val="auto"/>
          <w:highlight w:val="none"/>
        </w:rPr>
      </w:pPr>
      <w:r>
        <w:rPr>
          <w:rFonts w:hint="eastAsia"/>
          <w:color w:val="auto"/>
          <w:highlight w:val="none"/>
        </w:rPr>
        <w:br w:type="page"/>
      </w:r>
    </w:p>
    <w:p>
      <w:pPr>
        <w:pStyle w:val="30"/>
        <w:numPr>
          <w:ilvl w:val="0"/>
          <w:numId w:val="11"/>
        </w:numPr>
        <w:spacing w:before="120" w:after="120"/>
        <w:rPr>
          <w:color w:val="auto"/>
          <w:highlight w:val="none"/>
        </w:rPr>
      </w:pPr>
      <w:bookmarkStart w:id="1117" w:name="_Toc20032"/>
      <w:r>
        <w:rPr>
          <w:rFonts w:hint="eastAsia"/>
          <w:color w:val="auto"/>
          <w:highlight w:val="none"/>
        </w:rPr>
        <w:t>评标办法</w:t>
      </w:r>
      <w:bookmarkEnd w:id="1093"/>
      <w:bookmarkEnd w:id="1094"/>
      <w:bookmarkEnd w:id="1117"/>
      <w:bookmarkStart w:id="1118" w:name="_Hlt101846155"/>
      <w:bookmarkEnd w:id="1118"/>
    </w:p>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Pr>
        <w:numPr>
          <w:ilvl w:val="1"/>
          <w:numId w:val="31"/>
        </w:numPr>
        <w:wordWrap w:val="0"/>
        <w:topLinePunct/>
        <w:ind w:firstLine="482" w:firstLineChars="200"/>
        <w:outlineLvl w:val="1"/>
        <w:rPr>
          <w:b/>
          <w:color w:val="auto"/>
          <w:highlight w:val="none"/>
        </w:rPr>
      </w:pPr>
      <w:bookmarkStart w:id="1119" w:name="_Toc5534"/>
      <w:bookmarkStart w:id="1120" w:name="_Toc16563"/>
      <w:bookmarkStart w:id="1121" w:name="_Toc30547"/>
      <w:bookmarkStart w:id="1122" w:name="_Toc12309"/>
      <w:r>
        <w:rPr>
          <w:rFonts w:hint="eastAsia"/>
          <w:b/>
          <w:color w:val="auto"/>
          <w:highlight w:val="none"/>
        </w:rPr>
        <w:t>总则</w:t>
      </w:r>
      <w:bookmarkEnd w:id="1119"/>
      <w:bookmarkEnd w:id="1120"/>
      <w:bookmarkEnd w:id="1121"/>
      <w:bookmarkEnd w:id="1122"/>
    </w:p>
    <w:p>
      <w:pPr>
        <w:numPr>
          <w:ilvl w:val="1"/>
          <w:numId w:val="32"/>
        </w:numPr>
        <w:wordWrap w:val="0"/>
        <w:topLinePunct/>
        <w:ind w:firstLine="480" w:firstLineChars="200"/>
        <w:rPr>
          <w:color w:val="auto"/>
          <w:highlight w:val="none"/>
        </w:rPr>
      </w:pPr>
      <w:r>
        <w:rPr>
          <w:rFonts w:hint="eastAsia"/>
          <w:color w:val="auto"/>
          <w:highlight w:val="none"/>
        </w:rPr>
        <w:t>根据《中华人民共和国政府采购法》、《中华人民共和国政府采购法实施条例》和《政府采购货物和服务招标投标管理办法》(财政部令第87号)等法律规章，结合采购项目特点制定本评标办法。</w:t>
      </w:r>
    </w:p>
    <w:p>
      <w:pPr>
        <w:numPr>
          <w:ilvl w:val="1"/>
          <w:numId w:val="32"/>
        </w:numPr>
        <w:wordWrap w:val="0"/>
        <w:topLinePunct/>
        <w:ind w:firstLine="480" w:firstLineChars="200"/>
        <w:rPr>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numPr>
          <w:ilvl w:val="1"/>
          <w:numId w:val="32"/>
        </w:numPr>
        <w:wordWrap w:val="0"/>
        <w:topLinePunct/>
        <w:ind w:firstLine="480" w:firstLineChars="200"/>
        <w:rPr>
          <w:color w:val="auto"/>
          <w:highlight w:val="none"/>
        </w:rPr>
      </w:pPr>
      <w:r>
        <w:rPr>
          <w:rFonts w:hint="eastAsia"/>
          <w:color w:val="auto"/>
          <w:highlight w:val="none"/>
        </w:rPr>
        <w:t>评标工作应遵循公平、公正、科学及择优的原则，并以相同的评标程序和标准对待所有的投标人。</w:t>
      </w:r>
    </w:p>
    <w:p>
      <w:pPr>
        <w:numPr>
          <w:ilvl w:val="1"/>
          <w:numId w:val="32"/>
        </w:numPr>
        <w:wordWrap w:val="0"/>
        <w:topLinePunct/>
        <w:ind w:firstLine="480" w:firstLineChars="200"/>
        <w:rPr>
          <w:color w:val="auto"/>
          <w:highlight w:val="none"/>
        </w:rPr>
      </w:pPr>
      <w:r>
        <w:rPr>
          <w:rFonts w:hint="eastAsia"/>
          <w:color w:val="auto"/>
          <w:highlight w:val="none"/>
        </w:rPr>
        <w:t>评标委员会按照招标文件规定的评标方法和标准进行评标，并独立履行下列职责：</w:t>
      </w:r>
    </w:p>
    <w:p>
      <w:pPr>
        <w:numPr>
          <w:ilvl w:val="2"/>
          <w:numId w:val="33"/>
        </w:numPr>
        <w:wordWrap w:val="0"/>
        <w:topLinePunct/>
        <w:ind w:firstLine="480" w:firstLineChars="200"/>
        <w:rPr>
          <w:snapToGrid w:val="0"/>
          <w:color w:val="auto"/>
          <w:highlight w:val="none"/>
        </w:rPr>
      </w:pPr>
      <w:bookmarkStart w:id="1123" w:name="_Toc217446098"/>
      <w:r>
        <w:rPr>
          <w:rFonts w:hint="eastAsia"/>
          <w:snapToGrid w:val="0"/>
          <w:color w:val="auto"/>
          <w:highlight w:val="none"/>
        </w:rPr>
        <w:t>审查、评价投标文件是否符合招标文件的商务、技术等实质性要求；</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要求投标人对投标文件有关事项作出澄清或者说明；</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对投标文件进行比较和评价；</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确定中标候选人名单；</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向采购人、采购代理机构或者有关部门报告评标中发现的违法行为。</w:t>
      </w:r>
    </w:p>
    <w:p>
      <w:pPr>
        <w:numPr>
          <w:ilvl w:val="1"/>
          <w:numId w:val="33"/>
        </w:numPr>
        <w:wordWrap w:val="0"/>
        <w:topLinePunct/>
        <w:ind w:firstLine="480" w:firstLineChars="200"/>
        <w:rPr>
          <w:color w:val="auto"/>
          <w:highlight w:val="none"/>
        </w:rPr>
      </w:pPr>
      <w:r>
        <w:rPr>
          <w:rFonts w:hint="eastAsia"/>
          <w:color w:val="auto"/>
          <w:highlight w:val="none"/>
        </w:rPr>
        <w:t>评标过程独立、保密。投标人非法干预评标过程的行为将导致其投标文件作为无效处理。</w:t>
      </w:r>
    </w:p>
    <w:p>
      <w:pPr>
        <w:numPr>
          <w:ilvl w:val="1"/>
          <w:numId w:val="33"/>
        </w:numPr>
        <w:wordWrap w:val="0"/>
        <w:topLinePunct/>
        <w:ind w:firstLine="480" w:firstLineChars="200"/>
        <w:rPr>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numPr>
          <w:ilvl w:val="1"/>
          <w:numId w:val="33"/>
        </w:numPr>
        <w:wordWrap w:val="0"/>
        <w:topLinePunct/>
        <w:ind w:firstLine="480" w:firstLineChars="200"/>
        <w:rPr>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numPr>
          <w:ilvl w:val="1"/>
          <w:numId w:val="31"/>
        </w:numPr>
        <w:wordWrap w:val="0"/>
        <w:topLinePunct/>
        <w:ind w:firstLine="482" w:firstLineChars="200"/>
        <w:outlineLvl w:val="1"/>
        <w:rPr>
          <w:b/>
          <w:color w:val="auto"/>
          <w:highlight w:val="none"/>
        </w:rPr>
      </w:pPr>
      <w:bookmarkStart w:id="1124" w:name="_Toc8496"/>
      <w:bookmarkStart w:id="1125" w:name="_Toc26792"/>
      <w:bookmarkStart w:id="1126" w:name="_Toc25612"/>
      <w:bookmarkStart w:id="1127" w:name="_Toc5152"/>
      <w:bookmarkStart w:id="1128" w:name="_Toc14100"/>
      <w:bookmarkStart w:id="1129" w:name="_Toc14054"/>
      <w:bookmarkStart w:id="1130" w:name="_Toc10398"/>
      <w:bookmarkStart w:id="1131" w:name="_Toc327196340"/>
      <w:bookmarkStart w:id="1132" w:name="_Toc23669"/>
      <w:bookmarkStart w:id="1133" w:name="_Toc319440189"/>
      <w:bookmarkStart w:id="1134" w:name="_Toc3371"/>
      <w:bookmarkStart w:id="1135" w:name="_Toc5338"/>
      <w:bookmarkStart w:id="1136" w:name="_Toc3915"/>
      <w:bookmarkStart w:id="1137" w:name="_Toc12975"/>
      <w:bookmarkStart w:id="1138" w:name="_Toc16351"/>
      <w:bookmarkStart w:id="1139" w:name="_Toc17396"/>
      <w:r>
        <w:rPr>
          <w:rFonts w:hint="eastAsia"/>
          <w:b/>
          <w:color w:val="auto"/>
          <w:highlight w:val="none"/>
        </w:rPr>
        <w:t>评标方法</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pPr>
        <w:pStyle w:val="35"/>
        <w:rPr>
          <w:color w:val="auto"/>
          <w:highlight w:val="none"/>
        </w:rPr>
      </w:pPr>
      <w:r>
        <w:rPr>
          <w:rFonts w:hint="eastAsia"/>
          <w:color w:val="auto"/>
          <w:highlight w:val="none"/>
        </w:rPr>
        <w:t>本项目评标方法为：综合评分法。</w:t>
      </w:r>
    </w:p>
    <w:p>
      <w:pPr>
        <w:numPr>
          <w:ilvl w:val="1"/>
          <w:numId w:val="31"/>
        </w:numPr>
        <w:wordWrap w:val="0"/>
        <w:topLinePunct/>
        <w:ind w:firstLine="482" w:firstLineChars="200"/>
        <w:outlineLvl w:val="1"/>
        <w:rPr>
          <w:b/>
          <w:color w:val="auto"/>
          <w:highlight w:val="none"/>
        </w:rPr>
      </w:pPr>
      <w:bookmarkStart w:id="1140" w:name="_Toc19196"/>
      <w:bookmarkStart w:id="1141" w:name="_Toc9969"/>
      <w:bookmarkStart w:id="1142" w:name="_Toc5897"/>
      <w:bookmarkStart w:id="1143" w:name="_Toc7390"/>
      <w:bookmarkStart w:id="1144" w:name="_Toc18848"/>
      <w:bookmarkStart w:id="1145" w:name="_Toc319440190"/>
      <w:bookmarkStart w:id="1146" w:name="_Toc327196341"/>
      <w:bookmarkStart w:id="1147" w:name="_Toc17613"/>
      <w:bookmarkStart w:id="1148" w:name="_Toc27396"/>
      <w:bookmarkStart w:id="1149" w:name="_Toc23322"/>
      <w:bookmarkStart w:id="1150" w:name="_Toc17374"/>
      <w:bookmarkStart w:id="1151" w:name="_Toc27103"/>
      <w:bookmarkStart w:id="1152" w:name="_Toc24315"/>
      <w:bookmarkStart w:id="1153" w:name="_Toc12883"/>
      <w:bookmarkStart w:id="1154" w:name="_Toc31119"/>
      <w:bookmarkStart w:id="1155" w:name="_Toc5906"/>
      <w:r>
        <w:rPr>
          <w:rFonts w:hint="eastAsia"/>
          <w:b/>
          <w:color w:val="auto"/>
          <w:highlight w:val="none"/>
        </w:rPr>
        <w:t>评标程序</w:t>
      </w:r>
      <w:bookmarkEnd w:id="1123"/>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pPr>
        <w:numPr>
          <w:ilvl w:val="1"/>
          <w:numId w:val="34"/>
        </w:numPr>
        <w:wordWrap w:val="0"/>
        <w:topLinePunct/>
        <w:ind w:firstLine="480" w:firstLineChars="200"/>
        <w:rPr>
          <w:color w:val="auto"/>
          <w:highlight w:val="none"/>
        </w:rPr>
      </w:pPr>
      <w:r>
        <w:rPr>
          <w:rFonts w:hint="eastAsia"/>
          <w:color w:val="auto"/>
          <w:highlight w:val="none"/>
        </w:rPr>
        <w:t>熟悉招标文件和停止评标</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评标委员会正式评标前，应当熟悉招标文件，主要包括招标文件中符合性审查内容、采购项目技术、服务和商务要求、评标方法和标准以及政府采购合同主要条款等。</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评标过程中有下列情形之一的，评标委员会成员可以停止评标：</w:t>
      </w:r>
    </w:p>
    <w:p>
      <w:pPr>
        <w:numPr>
          <w:ilvl w:val="3"/>
          <w:numId w:val="33"/>
        </w:numPr>
        <w:ind w:firstLine="480" w:firstLineChars="200"/>
        <w:rPr>
          <w:color w:val="auto"/>
          <w:highlight w:val="none"/>
        </w:rPr>
      </w:pPr>
      <w:r>
        <w:rPr>
          <w:rFonts w:hint="eastAsia"/>
          <w:color w:val="auto"/>
          <w:highlight w:val="none"/>
        </w:rPr>
        <w:t>招标采购单位未提供必要的与采购项目有关的政策制度文件或者招标文件，继续评标将导致违法或者错误评标的；</w:t>
      </w:r>
    </w:p>
    <w:p>
      <w:pPr>
        <w:numPr>
          <w:ilvl w:val="3"/>
          <w:numId w:val="33"/>
        </w:numPr>
        <w:ind w:firstLine="480" w:firstLineChars="200"/>
        <w:rPr>
          <w:color w:val="auto"/>
          <w:highlight w:val="none"/>
        </w:rPr>
      </w:pPr>
      <w:r>
        <w:rPr>
          <w:rFonts w:hint="eastAsia"/>
          <w:color w:val="auto"/>
          <w:highlight w:val="none"/>
        </w:rPr>
        <w:t>有关单位和个人非法干预评标委员会依法独立评标的；</w:t>
      </w:r>
    </w:p>
    <w:p>
      <w:pPr>
        <w:numPr>
          <w:ilvl w:val="3"/>
          <w:numId w:val="33"/>
        </w:numPr>
        <w:ind w:firstLine="480" w:firstLineChars="200"/>
        <w:rPr>
          <w:color w:val="auto"/>
          <w:highlight w:val="none"/>
        </w:rPr>
      </w:pPr>
      <w:r>
        <w:rPr>
          <w:rFonts w:hint="eastAsia"/>
          <w:color w:val="auto"/>
          <w:highlight w:val="none"/>
        </w:rPr>
        <w:t>其他导致评标委员会无法正常履职的情形。</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numPr>
          <w:ilvl w:val="1"/>
          <w:numId w:val="33"/>
        </w:numPr>
        <w:wordWrap w:val="0"/>
        <w:topLinePunct/>
        <w:ind w:firstLine="480" w:firstLineChars="200"/>
        <w:rPr>
          <w:color w:val="auto"/>
          <w:highlight w:val="none"/>
        </w:rPr>
      </w:pPr>
      <w:r>
        <w:rPr>
          <w:rFonts w:hint="eastAsia"/>
          <w:color w:val="auto"/>
          <w:highlight w:val="none"/>
        </w:rPr>
        <w:t>符合性审查</w:t>
      </w:r>
    </w:p>
    <w:p>
      <w:pPr>
        <w:pStyle w:val="35"/>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除政府采购法律制度规定的情形外，本项目投标人或者其投标文件有下列情形之一的，作为无效投标处理：</w:t>
      </w:r>
    </w:p>
    <w:p>
      <w:pPr>
        <w:numPr>
          <w:ilvl w:val="3"/>
          <w:numId w:val="33"/>
        </w:numPr>
        <w:ind w:firstLine="480" w:firstLineChars="200"/>
        <w:rPr>
          <w:color w:val="auto"/>
          <w:highlight w:val="none"/>
        </w:rPr>
      </w:pPr>
      <w:r>
        <w:rPr>
          <w:rFonts w:hint="eastAsia"/>
          <w:color w:val="auto"/>
          <w:highlight w:val="none"/>
        </w:rPr>
        <w:t>未按照招标文件的规定和要求编制投标文件的；</w:t>
      </w:r>
    </w:p>
    <w:p>
      <w:pPr>
        <w:numPr>
          <w:ilvl w:val="3"/>
          <w:numId w:val="33"/>
        </w:numPr>
        <w:ind w:firstLine="480" w:firstLineChars="200"/>
        <w:rPr>
          <w:color w:val="auto"/>
          <w:highlight w:val="none"/>
        </w:rPr>
      </w:pPr>
      <w:r>
        <w:rPr>
          <w:rFonts w:hint="eastAsia"/>
          <w:color w:val="auto"/>
          <w:highlight w:val="none"/>
        </w:rPr>
        <w:t>投标文件组成明显不符合招标文件的规定要求，影响评标委员会评判的；</w:t>
      </w:r>
    </w:p>
    <w:p>
      <w:pPr>
        <w:numPr>
          <w:ilvl w:val="3"/>
          <w:numId w:val="33"/>
        </w:numPr>
        <w:ind w:firstLine="480" w:firstLineChars="200"/>
        <w:rPr>
          <w:color w:val="auto"/>
          <w:highlight w:val="none"/>
        </w:rPr>
      </w:pPr>
      <w:r>
        <w:rPr>
          <w:rFonts w:hint="eastAsia"/>
          <w:color w:val="auto"/>
          <w:highlight w:val="none"/>
        </w:rPr>
        <w:t>投标文件的格式、语言、计量单位、报价货币、知识产权、投标有效期等不符合招标文件的规定，影响评标委员会评判的；</w:t>
      </w:r>
    </w:p>
    <w:p>
      <w:pPr>
        <w:numPr>
          <w:ilvl w:val="3"/>
          <w:numId w:val="33"/>
        </w:numPr>
        <w:ind w:firstLine="480" w:firstLineChars="200"/>
        <w:rPr>
          <w:color w:val="auto"/>
          <w:highlight w:val="none"/>
        </w:rPr>
      </w:pPr>
      <w:r>
        <w:rPr>
          <w:rFonts w:hint="eastAsia"/>
          <w:color w:val="auto"/>
          <w:highlight w:val="none"/>
        </w:rPr>
        <w:t>投标报价不符合招标文件规定的价格标底和其他报价规定的；</w:t>
      </w:r>
    </w:p>
    <w:p>
      <w:pPr>
        <w:numPr>
          <w:ilvl w:val="3"/>
          <w:numId w:val="33"/>
        </w:numPr>
        <w:ind w:firstLine="480" w:firstLineChars="200"/>
        <w:rPr>
          <w:color w:val="auto"/>
          <w:highlight w:val="none"/>
        </w:rPr>
      </w:pPr>
      <w:r>
        <w:rPr>
          <w:rFonts w:hint="eastAsia"/>
          <w:color w:val="auto"/>
          <w:highlight w:val="none"/>
        </w:rPr>
        <w:t>技术、服务应答内容没有完全响应招标文件的实质性要求的；</w:t>
      </w:r>
    </w:p>
    <w:p>
      <w:pPr>
        <w:numPr>
          <w:ilvl w:val="3"/>
          <w:numId w:val="33"/>
        </w:numPr>
        <w:ind w:firstLine="480" w:firstLineChars="200"/>
        <w:rPr>
          <w:color w:val="auto"/>
          <w:highlight w:val="none"/>
        </w:rPr>
      </w:pPr>
      <w:r>
        <w:rPr>
          <w:rFonts w:hint="eastAsia"/>
          <w:color w:val="auto"/>
          <w:highlight w:val="none"/>
        </w:rPr>
        <w:t>招标文件有明确要求，但投标文件未载明或者载明的采购项目服务期限、方式、数量与招标文件要求不一致的；</w:t>
      </w:r>
    </w:p>
    <w:p>
      <w:pPr>
        <w:numPr>
          <w:ilvl w:val="3"/>
          <w:numId w:val="33"/>
        </w:numPr>
        <w:ind w:firstLine="480" w:firstLineChars="200"/>
        <w:rPr>
          <w:color w:val="auto"/>
          <w:highlight w:val="none"/>
        </w:rPr>
      </w:pPr>
      <w:r>
        <w:rPr>
          <w:rFonts w:hint="eastAsia"/>
          <w:color w:val="auto"/>
          <w:highlight w:val="none"/>
        </w:rPr>
        <w:t>投标文件含有采购人不能接受的附加条件的。</w:t>
      </w:r>
    </w:p>
    <w:p>
      <w:pPr>
        <w:tabs>
          <w:tab w:val="left" w:pos="851"/>
          <w:tab w:val="clear" w:pos="0"/>
        </w:tabs>
        <w:ind w:firstLine="480" w:firstLineChars="200"/>
        <w:rPr>
          <w:color w:val="auto"/>
          <w:highlight w:val="none"/>
        </w:rPr>
      </w:pPr>
      <w:r>
        <w:rPr>
          <w:rFonts w:hint="eastAsia"/>
          <w:color w:val="auto"/>
          <w:highlight w:val="none"/>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rPr>
          <w:color w:val="auto"/>
          <w:highlight w:val="none"/>
        </w:rPr>
      </w:pPr>
      <w:r>
        <w:rPr>
          <w:rFonts w:hint="eastAsia"/>
          <w:color w:val="auto"/>
          <w:highlight w:val="none"/>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rPr>
          <w:color w:val="auto"/>
          <w:highlight w:val="none"/>
        </w:rPr>
      </w:pPr>
      <w:r>
        <w:rPr>
          <w:rFonts w:hint="eastAsia"/>
          <w:color w:val="auto"/>
          <w:highlight w:val="none"/>
        </w:rPr>
        <w:t>③通过符合性审查的投标人＜3家，本项目采购失败。</w:t>
      </w:r>
    </w:p>
    <w:p>
      <w:pPr>
        <w:numPr>
          <w:ilvl w:val="1"/>
          <w:numId w:val="33"/>
        </w:numPr>
        <w:wordWrap w:val="0"/>
        <w:topLinePunct/>
        <w:ind w:firstLine="480" w:firstLineChars="200"/>
        <w:rPr>
          <w:color w:val="auto"/>
          <w:highlight w:val="none"/>
        </w:rPr>
      </w:pPr>
      <w:r>
        <w:rPr>
          <w:rFonts w:hint="eastAsia"/>
          <w:color w:val="auto"/>
          <w:highlight w:val="none"/>
        </w:rPr>
        <w:t>比较与评价</w:t>
      </w:r>
    </w:p>
    <w:p>
      <w:pPr>
        <w:pStyle w:val="35"/>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numPr>
          <w:ilvl w:val="1"/>
          <w:numId w:val="33"/>
        </w:numPr>
        <w:wordWrap w:val="0"/>
        <w:topLinePunct/>
        <w:ind w:firstLine="480" w:firstLineChars="200"/>
        <w:rPr>
          <w:color w:val="auto"/>
          <w:highlight w:val="none"/>
        </w:rPr>
      </w:pPr>
      <w:r>
        <w:rPr>
          <w:rFonts w:hint="eastAsia"/>
          <w:color w:val="auto"/>
          <w:highlight w:val="none"/>
        </w:rPr>
        <w:t>评标争议处理规则</w:t>
      </w:r>
    </w:p>
    <w:p>
      <w:pPr>
        <w:pStyle w:val="35"/>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numPr>
          <w:ilvl w:val="1"/>
          <w:numId w:val="33"/>
        </w:numPr>
        <w:wordWrap w:val="0"/>
        <w:topLinePunct/>
        <w:ind w:firstLine="480" w:firstLineChars="200"/>
        <w:rPr>
          <w:color w:val="auto"/>
          <w:highlight w:val="none"/>
        </w:rPr>
      </w:pPr>
      <w:r>
        <w:rPr>
          <w:rFonts w:hint="eastAsia"/>
          <w:color w:val="auto"/>
          <w:highlight w:val="none"/>
        </w:rPr>
        <w:t>澄清、说明或者纠正</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评标委员会要求供应商澄清、说明或者更正，不得超出招标文件的范围，不得以此让供应商实质改变投标文件的内容，不得影响供应商公平竞争。本项目下列内容不得澄清：</w:t>
      </w:r>
    </w:p>
    <w:p>
      <w:pPr>
        <w:numPr>
          <w:ilvl w:val="3"/>
          <w:numId w:val="33"/>
        </w:numPr>
        <w:ind w:firstLine="480" w:firstLineChars="200"/>
        <w:rPr>
          <w:color w:val="auto"/>
          <w:highlight w:val="none"/>
        </w:rPr>
      </w:pPr>
      <w:r>
        <w:rPr>
          <w:rFonts w:hint="eastAsia"/>
          <w:color w:val="auto"/>
          <w:highlight w:val="none"/>
        </w:rPr>
        <w:t>按财政部规定应当在评标时不予承认的投标文件内容事项；</w:t>
      </w:r>
    </w:p>
    <w:p>
      <w:pPr>
        <w:numPr>
          <w:ilvl w:val="3"/>
          <w:numId w:val="33"/>
        </w:numPr>
        <w:ind w:firstLine="480" w:firstLineChars="200"/>
        <w:rPr>
          <w:color w:val="auto"/>
          <w:highlight w:val="none"/>
        </w:rPr>
      </w:pPr>
      <w:r>
        <w:rPr>
          <w:rFonts w:hint="eastAsia"/>
          <w:color w:val="auto"/>
          <w:highlight w:val="none"/>
        </w:rPr>
        <w:t>投标文件中已经明确的内容事项；</w:t>
      </w:r>
    </w:p>
    <w:p>
      <w:pPr>
        <w:numPr>
          <w:ilvl w:val="3"/>
          <w:numId w:val="33"/>
        </w:numPr>
        <w:ind w:firstLine="480" w:firstLineChars="200"/>
        <w:rPr>
          <w:color w:val="auto"/>
          <w:highlight w:val="none"/>
        </w:rPr>
      </w:pPr>
      <w:r>
        <w:rPr>
          <w:rFonts w:hint="eastAsia"/>
          <w:color w:val="auto"/>
          <w:highlight w:val="none"/>
        </w:rPr>
        <w:t>投标文件未提供的材料。</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本项目采购过程中，投标文件出现下列情况的，不需要供应商澄清、说明或者纠正，按照以下原则处理：</w:t>
      </w:r>
    </w:p>
    <w:p>
      <w:pPr>
        <w:numPr>
          <w:ilvl w:val="3"/>
          <w:numId w:val="33"/>
        </w:numPr>
        <w:ind w:firstLine="480" w:firstLineChars="200"/>
        <w:rPr>
          <w:color w:val="auto"/>
          <w:highlight w:val="none"/>
        </w:rPr>
      </w:pPr>
      <w:r>
        <w:rPr>
          <w:rFonts w:hint="eastAsia"/>
          <w:color w:val="auto"/>
          <w:highlight w:val="none"/>
        </w:rPr>
        <w:t>投标文件的大写金额和小写金额不一致的，以大写金额为准，但大写金额出现文字错误，导致金额无法判断的除外；</w:t>
      </w:r>
    </w:p>
    <w:p>
      <w:pPr>
        <w:numPr>
          <w:ilvl w:val="3"/>
          <w:numId w:val="33"/>
        </w:numPr>
        <w:ind w:firstLine="480" w:firstLineChars="200"/>
        <w:rPr>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numPr>
          <w:ilvl w:val="3"/>
          <w:numId w:val="33"/>
        </w:numPr>
        <w:ind w:firstLine="480" w:firstLineChars="200"/>
        <w:rPr>
          <w:color w:val="auto"/>
          <w:highlight w:val="none"/>
        </w:rPr>
      </w:pPr>
      <w:r>
        <w:rPr>
          <w:rFonts w:hint="eastAsia"/>
          <w:color w:val="auto"/>
          <w:highlight w:val="none"/>
        </w:rPr>
        <w:t>单价金额小数点有明显错位的，应以总价为准，并修改单价；</w:t>
      </w:r>
    </w:p>
    <w:p>
      <w:pPr>
        <w:numPr>
          <w:ilvl w:val="3"/>
          <w:numId w:val="33"/>
        </w:numPr>
        <w:ind w:firstLine="480" w:firstLineChars="200"/>
        <w:rPr>
          <w:color w:val="auto"/>
          <w:highlight w:val="none"/>
        </w:rPr>
      </w:pPr>
      <w:r>
        <w:rPr>
          <w:rFonts w:hint="eastAsia"/>
          <w:color w:val="auto"/>
          <w:highlight w:val="none"/>
        </w:rPr>
        <w:t>对不同语言文本投标文件的解释发生异议的，以中文文本为准。</w:t>
      </w:r>
    </w:p>
    <w:p>
      <w:pPr>
        <w:pStyle w:val="35"/>
        <w:rPr>
          <w:color w:val="auto"/>
          <w:highlight w:val="none"/>
        </w:rPr>
      </w:pPr>
      <w:r>
        <w:rPr>
          <w:rFonts w:hint="eastAsia"/>
          <w:color w:val="auto"/>
          <w:highlight w:val="none"/>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5"/>
        <w:rPr>
          <w:color w:val="auto"/>
          <w:highlight w:val="none"/>
        </w:rPr>
      </w:pPr>
      <w:r>
        <w:rPr>
          <w:rFonts w:hint="eastAsia"/>
          <w:color w:val="auto"/>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3"/>
        <w:ind w:firstLine="482"/>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numPr>
          <w:ilvl w:val="1"/>
          <w:numId w:val="33"/>
        </w:numPr>
        <w:wordWrap w:val="0"/>
        <w:topLinePunct/>
        <w:ind w:firstLine="480" w:firstLineChars="200"/>
        <w:rPr>
          <w:color w:val="auto"/>
          <w:highlight w:val="none"/>
        </w:rPr>
      </w:pPr>
      <w:r>
        <w:rPr>
          <w:rFonts w:hint="eastAsia"/>
          <w:color w:val="auto"/>
          <w:highlight w:val="none"/>
        </w:rPr>
        <w:t>投标文件报价出现前后不一致的，除招标文件另有规定外，按照下列规定修正：</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投标文件中开标一览表(报价表)内容与投标文件中相应内容不一致的，以开标唱标时单独提交的开标一览表(报价表)为准；</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大写金额和小写金额不一致的，以大写金额为准；</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单价金额小数点或者百分比有明显错位的，以开标一览表的总价为准，并修改单价；</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总价金额与按单价汇总金额不一致的，以单价金额计算结果为准。</w:t>
      </w:r>
    </w:p>
    <w:p>
      <w:pPr>
        <w:pStyle w:val="53"/>
        <w:ind w:firstLine="482"/>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numPr>
          <w:ilvl w:val="1"/>
          <w:numId w:val="33"/>
        </w:numPr>
        <w:wordWrap w:val="0"/>
        <w:topLinePunct/>
        <w:ind w:firstLine="480" w:firstLineChars="200"/>
        <w:rPr>
          <w:color w:val="auto"/>
          <w:highlight w:val="none"/>
        </w:rPr>
      </w:pPr>
      <w:r>
        <w:rPr>
          <w:rFonts w:hint="eastAsia"/>
          <w:color w:val="auto"/>
          <w:highlight w:val="none"/>
        </w:rPr>
        <w:t>低于成本价投标处理</w:t>
      </w:r>
    </w:p>
    <w:p>
      <w:pPr>
        <w:numPr>
          <w:ilvl w:val="2"/>
          <w:numId w:val="0"/>
        </w:numPr>
        <w:wordWrap w:val="0"/>
        <w:topLinePunct/>
        <w:ind w:firstLine="480" w:firstLineChars="200"/>
        <w:rPr>
          <w:snapToGrid w:val="0"/>
          <w:color w:val="auto"/>
          <w:highlight w:val="none"/>
        </w:rPr>
      </w:pPr>
      <w:r>
        <w:rPr>
          <w:rFonts w:hint="eastAsia"/>
          <w:snapToGrid w:val="0"/>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2"/>
          <w:numId w:val="0"/>
        </w:numPr>
        <w:wordWrap w:val="0"/>
        <w:topLinePunct/>
        <w:ind w:firstLine="480" w:firstLineChars="200"/>
        <w:rPr>
          <w:snapToGrid w:val="0"/>
          <w:color w:val="auto"/>
          <w:highlight w:val="none"/>
        </w:rPr>
      </w:pPr>
      <w:r>
        <w:rPr>
          <w:rFonts w:hint="eastAsia"/>
          <w:snapToGrid w:val="0"/>
          <w:color w:val="auto"/>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numPr>
          <w:ilvl w:val="1"/>
          <w:numId w:val="31"/>
        </w:numPr>
        <w:wordWrap w:val="0"/>
        <w:topLinePunct/>
        <w:ind w:firstLine="482" w:firstLineChars="200"/>
        <w:outlineLvl w:val="1"/>
        <w:rPr>
          <w:b/>
          <w:color w:val="auto"/>
          <w:highlight w:val="none"/>
        </w:rPr>
      </w:pPr>
      <w:bookmarkStart w:id="1156" w:name="_Toc26213"/>
      <w:bookmarkStart w:id="1157" w:name="_Toc25587"/>
      <w:bookmarkStart w:id="1158" w:name="_Toc27402"/>
      <w:bookmarkStart w:id="1159" w:name="_Toc319440191"/>
      <w:bookmarkStart w:id="1160" w:name="_Toc309897564"/>
      <w:bookmarkStart w:id="1161" w:name="_Toc308188199"/>
      <w:bookmarkStart w:id="1162" w:name="_Toc217446103"/>
      <w:bookmarkStart w:id="1163" w:name="_Toc29471"/>
      <w:bookmarkStart w:id="1164" w:name="_Toc23140"/>
      <w:bookmarkStart w:id="1165" w:name="_Toc307501155"/>
      <w:bookmarkStart w:id="1166" w:name="_Toc1756"/>
      <w:bookmarkStart w:id="1167" w:name="_Toc25264"/>
      <w:bookmarkStart w:id="1168" w:name="_Toc327196342"/>
      <w:bookmarkStart w:id="1169" w:name="_Toc2874"/>
      <w:bookmarkStart w:id="1170" w:name="_Toc22389"/>
      <w:bookmarkStart w:id="1171" w:name="_Toc21397"/>
      <w:bookmarkStart w:id="1172" w:name="_Toc307564897"/>
      <w:bookmarkStart w:id="1173" w:name="_Toc30417"/>
      <w:bookmarkStart w:id="1174" w:name="_Toc308084646"/>
      <w:bookmarkStart w:id="1175" w:name="_Toc2106"/>
      <w:bookmarkStart w:id="1176" w:name="_Toc23187"/>
      <w:bookmarkStart w:id="1177" w:name="_Toc319439947"/>
      <w:bookmarkStart w:id="1178" w:name="_Toc24902"/>
      <w:r>
        <w:rPr>
          <w:rFonts w:hint="eastAsia"/>
          <w:b/>
          <w:color w:val="auto"/>
          <w:highlight w:val="none"/>
        </w:rPr>
        <w:t>评标细则及标准</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pPr>
        <w:numPr>
          <w:ilvl w:val="1"/>
          <w:numId w:val="35"/>
        </w:numPr>
        <w:wordWrap w:val="0"/>
        <w:topLinePunct/>
        <w:ind w:firstLine="480" w:firstLineChars="200"/>
        <w:rPr>
          <w:color w:val="auto"/>
          <w:highlight w:val="none"/>
        </w:rPr>
      </w:pPr>
      <w:r>
        <w:rPr>
          <w:rFonts w:hint="eastAsia"/>
          <w:color w:val="auto"/>
          <w:highlight w:val="none"/>
        </w:rPr>
        <w:t>评委会只对通过符合性检查的投标文件，根据招标文件的要求采用相同的评标程序、评分办法及标准进行评价和比较。</w:t>
      </w:r>
    </w:p>
    <w:p>
      <w:pPr>
        <w:numPr>
          <w:ilvl w:val="1"/>
          <w:numId w:val="35"/>
        </w:numPr>
        <w:wordWrap w:val="0"/>
        <w:topLinePunct/>
        <w:ind w:firstLine="480" w:firstLineChars="200"/>
        <w:rPr>
          <w:color w:val="auto"/>
          <w:highlight w:val="none"/>
        </w:rPr>
      </w:pPr>
      <w:r>
        <w:rPr>
          <w:rFonts w:hint="eastAsia"/>
          <w:color w:val="auto"/>
          <w:highlight w:val="none"/>
        </w:rPr>
        <w:t>本次综合评分的因素是：详见“综合评分明细表中的评分因素及权重”。</w:t>
      </w:r>
    </w:p>
    <w:p>
      <w:pPr>
        <w:numPr>
          <w:ilvl w:val="1"/>
          <w:numId w:val="35"/>
        </w:numPr>
        <w:wordWrap w:val="0"/>
        <w:topLinePunct/>
        <w:ind w:firstLine="480" w:firstLineChars="200"/>
        <w:rPr>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numPr>
          <w:ilvl w:val="1"/>
          <w:numId w:val="35"/>
        </w:numPr>
        <w:wordWrap w:val="0"/>
        <w:topLinePunct/>
        <w:ind w:firstLine="480" w:firstLineChars="200"/>
        <w:rPr>
          <w:color w:val="auto"/>
          <w:highlight w:val="none"/>
        </w:rPr>
      </w:pPr>
      <w:r>
        <w:rPr>
          <w:rFonts w:hint="eastAsia"/>
          <w:color w:val="auto"/>
          <w:highlight w:val="none"/>
        </w:rPr>
        <w:t>评审得分计算方法</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ind w:firstLine="480" w:firstLineChars="200"/>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41"/>
        <w:ind w:firstLine="480"/>
        <w:rPr>
          <w:color w:val="auto"/>
          <w:highlight w:val="none"/>
        </w:rPr>
      </w:pPr>
      <w:r>
        <w:rPr>
          <w:rFonts w:hint="eastAsia"/>
          <w:color w:val="auto"/>
          <w:highlight w:val="none"/>
        </w:rPr>
        <w:t>综合评分明细表</w:t>
      </w:r>
    </w:p>
    <w:p>
      <w:pPr>
        <w:pStyle w:val="43"/>
        <w:ind w:firstLine="480"/>
        <w:rPr>
          <w:color w:val="auto"/>
          <w:highlight w:val="none"/>
        </w:rPr>
      </w:pPr>
      <w:r>
        <w:rPr>
          <w:rFonts w:hint="eastAsia"/>
          <w:color w:val="auto"/>
          <w:highlight w:val="none"/>
        </w:rPr>
        <w:t>综合评分明细表的制定以科学合理、降低评委会自由裁量权为原则。</w:t>
      </w:r>
    </w:p>
    <w:p>
      <w:pPr>
        <w:pStyle w:val="43"/>
        <w:ind w:firstLine="480"/>
        <w:rPr>
          <w:color w:val="auto"/>
          <w:highlight w:val="none"/>
        </w:rPr>
      </w:pPr>
      <w:r>
        <w:rPr>
          <w:rFonts w:hint="eastAsia"/>
          <w:color w:val="auto"/>
          <w:highlight w:val="none"/>
        </w:rPr>
        <w:t>综合评分明细表</w:t>
      </w:r>
    </w:p>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46"/>
        <w:gridCol w:w="900"/>
        <w:gridCol w:w="5927"/>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86" w:type="pct"/>
            <w:vAlign w:val="center"/>
          </w:tcPr>
          <w:p>
            <w:pPr>
              <w:pStyle w:val="31"/>
              <w:spacing w:line="320" w:lineRule="exact"/>
              <w:jc w:val="center"/>
              <w:rPr>
                <w:rFonts w:asciiTheme="minorEastAsia" w:hAnsiTheme="minorEastAsia" w:eastAsiaTheme="minorEastAsia" w:cstheme="minorEastAsia"/>
                <w:b/>
                <w:bCs/>
                <w:color w:val="auto"/>
                <w:sz w:val="21"/>
                <w:szCs w:val="21"/>
                <w:highlight w:val="none"/>
              </w:rPr>
            </w:pPr>
            <w:bookmarkStart w:id="1179" w:name="_Toc3085"/>
            <w:bookmarkStart w:id="1180" w:name="_Toc28956"/>
            <w:r>
              <w:rPr>
                <w:rFonts w:hint="eastAsia" w:asciiTheme="minorEastAsia" w:hAnsiTheme="minorEastAsia" w:eastAsiaTheme="minorEastAsia" w:cstheme="minorEastAsia"/>
                <w:b/>
                <w:bCs/>
                <w:color w:val="auto"/>
                <w:sz w:val="21"/>
                <w:szCs w:val="21"/>
                <w:highlight w:val="none"/>
              </w:rPr>
              <w:t>序号</w:t>
            </w:r>
          </w:p>
        </w:tc>
        <w:tc>
          <w:tcPr>
            <w:tcW w:w="676" w:type="pct"/>
            <w:vAlign w:val="center"/>
          </w:tcPr>
          <w:p>
            <w:pPr>
              <w:pStyle w:val="31"/>
              <w:spacing w:line="32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评分因素</w:t>
            </w:r>
          </w:p>
          <w:p>
            <w:pPr>
              <w:pStyle w:val="31"/>
              <w:spacing w:line="32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及权重</w:t>
            </w:r>
          </w:p>
        </w:tc>
        <w:tc>
          <w:tcPr>
            <w:tcW w:w="452" w:type="pct"/>
            <w:vAlign w:val="center"/>
          </w:tcPr>
          <w:p>
            <w:pPr>
              <w:pStyle w:val="31"/>
              <w:spacing w:line="32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分值</w:t>
            </w:r>
          </w:p>
        </w:tc>
        <w:tc>
          <w:tcPr>
            <w:tcW w:w="2977" w:type="pct"/>
            <w:vAlign w:val="center"/>
          </w:tcPr>
          <w:p>
            <w:pPr>
              <w:pStyle w:val="31"/>
              <w:spacing w:line="32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评分标准</w:t>
            </w:r>
          </w:p>
        </w:tc>
        <w:tc>
          <w:tcPr>
            <w:tcW w:w="506" w:type="pct"/>
            <w:vAlign w:val="center"/>
          </w:tcPr>
          <w:p>
            <w:pPr>
              <w:pStyle w:val="31"/>
              <w:spacing w:line="320" w:lineRule="exact"/>
              <w:jc w:val="center"/>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w:t>
            </w:r>
          </w:p>
        </w:tc>
        <w:tc>
          <w:tcPr>
            <w:tcW w:w="67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投标报价</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30%</w:t>
            </w:r>
          </w:p>
        </w:tc>
        <w:tc>
          <w:tcPr>
            <w:tcW w:w="452"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30分</w:t>
            </w:r>
          </w:p>
        </w:tc>
        <w:tc>
          <w:tcPr>
            <w:tcW w:w="2977" w:type="pct"/>
            <w:vAlign w:val="center"/>
          </w:tcPr>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满足招标文件要求且投标价格最低的投标报价为评标基准价，其价格分为满分。其他投标人的价格分统一按照下列公式计算：</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投标报价得分=(评标基准价／投标报价)×30%×100；</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注：1.小微企业(残疾人福利性单位、监狱企业视同小微企业)价格扣除按照本招标文件投标人须知前附表规定执行。</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2.评标过程中，不得去掉报价中的最高报价和最低报价。</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3.因落实政府采购政策进行价格调整的，以调整后的价格计算评标基准价和投标报价。</w:t>
            </w:r>
          </w:p>
        </w:tc>
        <w:tc>
          <w:tcPr>
            <w:tcW w:w="50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共同</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评分</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w:t>
            </w:r>
          </w:p>
        </w:tc>
        <w:tc>
          <w:tcPr>
            <w:tcW w:w="67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技术指标及</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配置</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w:t>
            </w:r>
            <w:r>
              <w:rPr>
                <w:rFonts w:asciiTheme="minorEastAsia" w:hAnsiTheme="minorEastAsia" w:eastAsiaTheme="minorEastAsia" w:cstheme="minorEastAsia"/>
                <w:color w:val="auto"/>
                <w:sz w:val="21"/>
                <w:szCs w:val="21"/>
                <w:highlight w:val="none"/>
              </w:rPr>
              <w:t>.5</w:t>
            </w:r>
            <w:r>
              <w:rPr>
                <w:rFonts w:hint="eastAsia" w:asciiTheme="minorEastAsia" w:hAnsiTheme="minorEastAsia" w:eastAsiaTheme="minorEastAsia" w:cstheme="minorEastAsia"/>
                <w:color w:val="auto"/>
                <w:sz w:val="21"/>
                <w:szCs w:val="21"/>
                <w:highlight w:val="none"/>
              </w:rPr>
              <w:t>%</w:t>
            </w:r>
          </w:p>
        </w:tc>
        <w:tc>
          <w:tcPr>
            <w:tcW w:w="452"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53</w:t>
            </w:r>
            <w:r>
              <w:rPr>
                <w:rFonts w:asciiTheme="minorEastAsia" w:hAnsiTheme="minorEastAsia" w:eastAsiaTheme="minorEastAsia" w:cstheme="minorEastAsia"/>
                <w:color w:val="auto"/>
                <w:sz w:val="21"/>
                <w:szCs w:val="21"/>
                <w:highlight w:val="none"/>
              </w:rPr>
              <w:t>.5</w:t>
            </w:r>
            <w:r>
              <w:rPr>
                <w:rFonts w:hint="eastAsia" w:asciiTheme="minorEastAsia" w:hAnsiTheme="minorEastAsia" w:eastAsiaTheme="minorEastAsia" w:cstheme="minorEastAsia"/>
                <w:color w:val="auto"/>
                <w:sz w:val="21"/>
                <w:szCs w:val="21"/>
                <w:highlight w:val="none"/>
              </w:rPr>
              <w:t>分</w:t>
            </w:r>
          </w:p>
        </w:tc>
        <w:tc>
          <w:tcPr>
            <w:tcW w:w="2977" w:type="pct"/>
            <w:vAlign w:val="center"/>
          </w:tcPr>
          <w:p>
            <w:pPr>
              <w:pStyle w:val="31"/>
              <w:spacing w:line="320" w:lineRule="exact"/>
              <w:jc w:val="both"/>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投标产品完全响应招标文件第六章 “技术参数及功能要求”的得53.5分。在此基础上，每有一项重要指标(带“</w:t>
            </w:r>
            <w:r>
              <w:rPr>
                <w:rFonts w:hint="eastAsia" w:cs="Times New Roman" w:asciiTheme="minorEastAsia" w:hAnsiTheme="minorEastAsia" w:eastAsiaTheme="minorEastAsia"/>
                <w:snapToGrid/>
                <w:color w:val="auto"/>
                <w:kern w:val="0"/>
                <w:sz w:val="21"/>
                <w:szCs w:val="21"/>
                <w:highlight w:val="none"/>
              </w:rPr>
              <w:t>▲</w:t>
            </w:r>
            <w:r>
              <w:rPr>
                <w:rFonts w:hint="eastAsia" w:asciiTheme="minorEastAsia" w:hAnsiTheme="minorEastAsia" w:eastAsiaTheme="minorEastAsia" w:cstheme="minorEastAsia"/>
                <w:color w:val="auto"/>
                <w:sz w:val="21"/>
                <w:szCs w:val="21"/>
                <w:highlight w:val="none"/>
              </w:rPr>
              <w:t>”号的参数</w:t>
            </w:r>
            <w:r>
              <w:rPr>
                <w:rFonts w:hint="eastAsia" w:asciiTheme="minorEastAsia" w:hAnsiTheme="minorEastAsia" w:cstheme="minorEastAsia"/>
                <w:color w:val="auto"/>
                <w:sz w:val="21"/>
                <w:szCs w:val="21"/>
                <w:highlight w:val="none"/>
              </w:rPr>
              <w:t>，共19项</w:t>
            </w:r>
            <w:r>
              <w:rPr>
                <w:rFonts w:hint="eastAsia" w:asciiTheme="minorEastAsia" w:hAnsiTheme="minorEastAsia" w:eastAsiaTheme="minorEastAsia" w:cstheme="minorEastAsia"/>
                <w:color w:val="auto"/>
                <w:sz w:val="21"/>
                <w:szCs w:val="21"/>
                <w:highlight w:val="none"/>
              </w:rPr>
              <w:t>)有负偏离的，扣2分</w:t>
            </w:r>
            <w:r>
              <w:rPr>
                <w:rFonts w:hint="eastAsia" w:asciiTheme="minorEastAsia" w:hAnsiTheme="minorEastAsia" w:cstheme="minorEastAsia"/>
                <w:color w:val="auto"/>
                <w:sz w:val="21"/>
                <w:szCs w:val="21"/>
                <w:highlight w:val="none"/>
              </w:rPr>
              <w:t>，最多扣38分</w:t>
            </w:r>
            <w:r>
              <w:rPr>
                <w:rFonts w:hint="eastAsia" w:asciiTheme="minorEastAsia" w:hAnsiTheme="minorEastAsia" w:eastAsiaTheme="minorEastAsia" w:cstheme="minorEastAsia"/>
                <w:color w:val="auto"/>
                <w:sz w:val="21"/>
                <w:szCs w:val="21"/>
                <w:highlight w:val="none"/>
              </w:rPr>
              <w:t>；每有一项一般指标(非</w:t>
            </w:r>
            <w:r>
              <w:rPr>
                <w:rFonts w:hint="eastAsia" w:cs="Times New Roman" w:asciiTheme="minorEastAsia" w:hAnsiTheme="minorEastAsia" w:eastAsiaTheme="minorEastAsia"/>
                <w:snapToGrid/>
                <w:color w:val="auto"/>
                <w:kern w:val="0"/>
                <w:sz w:val="21"/>
                <w:szCs w:val="21"/>
                <w:highlight w:val="none"/>
              </w:rPr>
              <w:t>“▲”“★”</w:t>
            </w:r>
            <w:r>
              <w:rPr>
                <w:rFonts w:hint="eastAsia" w:asciiTheme="minorEastAsia" w:hAnsiTheme="minorEastAsia" w:eastAsiaTheme="minorEastAsia" w:cstheme="minorEastAsia"/>
                <w:color w:val="auto"/>
                <w:sz w:val="21"/>
                <w:szCs w:val="21"/>
                <w:highlight w:val="none"/>
              </w:rPr>
              <w:t>号的参数</w:t>
            </w:r>
            <w:r>
              <w:rPr>
                <w:rFonts w:hint="eastAsia" w:asciiTheme="minorEastAsia" w:hAnsiTheme="minorEastAsia" w:cstheme="minorEastAsia"/>
                <w:color w:val="auto"/>
                <w:sz w:val="21"/>
                <w:szCs w:val="21"/>
                <w:highlight w:val="none"/>
              </w:rPr>
              <w:t>，共3</w:t>
            </w:r>
            <w:r>
              <w:rPr>
                <w:rFonts w:asciiTheme="minorEastAsia" w:hAnsiTheme="minorEastAsia" w:cstheme="minorEastAsia"/>
                <w:color w:val="auto"/>
                <w:sz w:val="21"/>
                <w:szCs w:val="21"/>
                <w:highlight w:val="none"/>
              </w:rPr>
              <w:t>1</w:t>
            </w:r>
            <w:r>
              <w:rPr>
                <w:rFonts w:hint="eastAsia" w:asciiTheme="minorEastAsia" w:hAnsiTheme="minorEastAsia" w:cstheme="minorEastAsia"/>
                <w:color w:val="auto"/>
                <w:sz w:val="21"/>
                <w:szCs w:val="21"/>
                <w:highlight w:val="none"/>
              </w:rPr>
              <w:t>项</w:t>
            </w:r>
            <w:r>
              <w:rPr>
                <w:rFonts w:hint="eastAsia" w:asciiTheme="minorEastAsia" w:hAnsiTheme="minorEastAsia" w:eastAsiaTheme="minorEastAsia" w:cstheme="minorEastAsia"/>
                <w:color w:val="auto"/>
                <w:sz w:val="21"/>
                <w:szCs w:val="21"/>
                <w:highlight w:val="none"/>
              </w:rPr>
              <w:t>)有负偏离的，扣0.5分</w:t>
            </w:r>
            <w:r>
              <w:rPr>
                <w:rFonts w:hint="eastAsia" w:asciiTheme="minorEastAsia" w:hAnsiTheme="minorEastAsia" w:cstheme="minorEastAsia"/>
                <w:color w:val="auto"/>
                <w:sz w:val="21"/>
                <w:szCs w:val="21"/>
                <w:highlight w:val="none"/>
              </w:rPr>
              <w:t>，最多扣15</w:t>
            </w:r>
            <w:r>
              <w:rPr>
                <w:rFonts w:asciiTheme="minorEastAsia" w:hAnsiTheme="minorEastAsia" w:cstheme="minorEastAsia"/>
                <w:color w:val="auto"/>
                <w:sz w:val="21"/>
                <w:szCs w:val="21"/>
                <w:highlight w:val="none"/>
              </w:rPr>
              <w:t>.5</w:t>
            </w:r>
            <w:r>
              <w:rPr>
                <w:rFonts w:hint="eastAsia" w:asciiTheme="minorEastAsia" w:hAnsiTheme="minorEastAsia" w:cstheme="minorEastAsia"/>
                <w:color w:val="auto"/>
                <w:sz w:val="21"/>
                <w:szCs w:val="21"/>
                <w:highlight w:val="none"/>
              </w:rPr>
              <w:t>分</w:t>
            </w:r>
            <w:r>
              <w:rPr>
                <w:rFonts w:hint="eastAsia" w:asciiTheme="minorEastAsia" w:hAnsiTheme="minorEastAsia" w:eastAsiaTheme="minorEastAsia" w:cstheme="minorEastAsia"/>
                <w:color w:val="auto"/>
                <w:sz w:val="21"/>
                <w:szCs w:val="21"/>
                <w:highlight w:val="none"/>
              </w:rPr>
              <w:t>。</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注：针对招标文件中的技术参数，投标人应按照招标文件要求提供相关证明材料，若没有按照要求提供相关证明材料的，该条技术参数在评审中将不予认定。</w:t>
            </w:r>
          </w:p>
        </w:tc>
        <w:tc>
          <w:tcPr>
            <w:tcW w:w="50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技术类</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评分</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w:t>
            </w:r>
          </w:p>
        </w:tc>
        <w:tc>
          <w:tcPr>
            <w:tcW w:w="67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履约能力</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452"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12分</w:t>
            </w:r>
          </w:p>
        </w:tc>
        <w:tc>
          <w:tcPr>
            <w:tcW w:w="2977" w:type="pct"/>
            <w:vAlign w:val="center"/>
          </w:tcPr>
          <w:p>
            <w:pPr>
              <w:pStyle w:val="31"/>
              <w:spacing w:line="320" w:lineRule="exact"/>
              <w:rPr>
                <w:color w:val="auto"/>
                <w:sz w:val="21"/>
                <w:szCs w:val="21"/>
                <w:highlight w:val="none"/>
              </w:rPr>
            </w:pPr>
            <w:r>
              <w:rPr>
                <w:rFonts w:hint="eastAsia"/>
                <w:color w:val="auto"/>
                <w:sz w:val="21"/>
                <w:szCs w:val="21"/>
                <w:highlight w:val="none"/>
              </w:rPr>
              <w:t>1.投标人自2019年1月1日(含1日)以来具有类似项目履约经验，每具有1个得1分，最多得4分。</w:t>
            </w:r>
          </w:p>
          <w:p>
            <w:pPr>
              <w:pStyle w:val="31"/>
              <w:spacing w:line="320" w:lineRule="exact"/>
              <w:rPr>
                <w:color w:val="auto"/>
                <w:sz w:val="21"/>
                <w:szCs w:val="21"/>
                <w:highlight w:val="none"/>
              </w:rPr>
            </w:pPr>
            <w:r>
              <w:rPr>
                <w:rFonts w:hint="eastAsia"/>
                <w:b/>
                <w:bCs/>
                <w:color w:val="auto"/>
                <w:sz w:val="21"/>
                <w:szCs w:val="21"/>
                <w:highlight w:val="none"/>
              </w:rPr>
              <w:t>注：提供合同复印件和中标/成交通知书。</w:t>
            </w:r>
          </w:p>
          <w:p>
            <w:pPr>
              <w:pStyle w:val="31"/>
              <w:spacing w:line="320" w:lineRule="exact"/>
              <w:rPr>
                <w:color w:val="auto"/>
                <w:sz w:val="21"/>
                <w:szCs w:val="21"/>
                <w:highlight w:val="none"/>
              </w:rPr>
            </w:pPr>
            <w:r>
              <w:rPr>
                <w:rFonts w:hint="eastAsia"/>
                <w:color w:val="auto"/>
                <w:sz w:val="21"/>
                <w:szCs w:val="21"/>
                <w:highlight w:val="none"/>
              </w:rPr>
              <w:t>2.投标人所投软件具有“动力电池PACK装调与检测技术平台智能教学系统”相关计算机软件著作权登记证书的得2分。</w:t>
            </w:r>
          </w:p>
          <w:p>
            <w:pPr>
              <w:pStyle w:val="31"/>
              <w:spacing w:line="320" w:lineRule="exact"/>
              <w:rPr>
                <w:color w:val="auto"/>
                <w:sz w:val="21"/>
                <w:szCs w:val="21"/>
                <w:highlight w:val="none"/>
              </w:rPr>
            </w:pPr>
            <w:r>
              <w:rPr>
                <w:rFonts w:hint="eastAsia"/>
                <w:color w:val="auto"/>
                <w:sz w:val="21"/>
                <w:szCs w:val="21"/>
                <w:highlight w:val="none"/>
              </w:rPr>
              <w:t>3.投标人所投软件具有“纯电动汽车驱动系统装调与检测技术平台智能教学系统”相关计算机软件著作权登记证书的得2分。</w:t>
            </w:r>
          </w:p>
          <w:p>
            <w:pPr>
              <w:pStyle w:val="31"/>
              <w:spacing w:line="320" w:lineRule="exact"/>
              <w:rPr>
                <w:color w:val="auto"/>
                <w:sz w:val="21"/>
                <w:szCs w:val="21"/>
                <w:highlight w:val="none"/>
              </w:rPr>
            </w:pPr>
            <w:r>
              <w:rPr>
                <w:rFonts w:hint="eastAsia"/>
                <w:color w:val="auto"/>
                <w:sz w:val="21"/>
                <w:szCs w:val="21"/>
                <w:highlight w:val="none"/>
              </w:rPr>
              <w:t>4.投标人所投软件具有“新能源汽车动力总成虚拟拆装与检测3D软件”相关计算机软件著作权登记证书的得2分。</w:t>
            </w:r>
          </w:p>
          <w:p>
            <w:pPr>
              <w:pStyle w:val="31"/>
              <w:spacing w:line="320" w:lineRule="exact"/>
              <w:rPr>
                <w:color w:val="auto"/>
                <w:sz w:val="21"/>
                <w:szCs w:val="21"/>
                <w:highlight w:val="none"/>
              </w:rPr>
            </w:pPr>
            <w:r>
              <w:rPr>
                <w:rFonts w:hint="eastAsia"/>
                <w:color w:val="auto"/>
                <w:sz w:val="21"/>
                <w:szCs w:val="21"/>
                <w:highlight w:val="none"/>
              </w:rPr>
              <w:t>5.投标人所投软件具有“新能源汽车电池虚拟结构原理教学软件”相关计算机软件著作权登记证书的得2分。</w:t>
            </w:r>
          </w:p>
          <w:p>
            <w:pPr>
              <w:pStyle w:val="31"/>
              <w:spacing w:line="320" w:lineRule="exact"/>
              <w:rPr>
                <w:color w:val="auto"/>
                <w:sz w:val="21"/>
                <w:szCs w:val="21"/>
                <w:highlight w:val="none"/>
              </w:rPr>
            </w:pPr>
            <w:r>
              <w:rPr>
                <w:rFonts w:hint="eastAsia"/>
                <w:b/>
                <w:bCs/>
                <w:color w:val="auto"/>
                <w:sz w:val="21"/>
                <w:szCs w:val="21"/>
                <w:highlight w:val="none"/>
              </w:rPr>
              <w:t>注：2-</w:t>
            </w:r>
            <w:r>
              <w:rPr>
                <w:b/>
                <w:bCs/>
                <w:color w:val="auto"/>
                <w:sz w:val="21"/>
                <w:szCs w:val="21"/>
                <w:highlight w:val="none"/>
              </w:rPr>
              <w:t>5</w:t>
            </w:r>
            <w:r>
              <w:rPr>
                <w:rFonts w:hint="eastAsia"/>
                <w:b/>
                <w:bCs/>
                <w:color w:val="auto"/>
                <w:sz w:val="21"/>
                <w:szCs w:val="21"/>
                <w:highlight w:val="none"/>
              </w:rPr>
              <w:t>项提供计算机软件著作权登记证书复印件。</w:t>
            </w:r>
          </w:p>
        </w:tc>
        <w:tc>
          <w:tcPr>
            <w:tcW w:w="506" w:type="pct"/>
            <w:vAlign w:val="center"/>
          </w:tcPr>
          <w:p>
            <w:pPr>
              <w:pStyle w:val="31"/>
              <w:spacing w:line="320" w:lineRule="exact"/>
              <w:jc w:val="center"/>
              <w:rPr>
                <w:color w:val="auto"/>
                <w:sz w:val="21"/>
                <w:szCs w:val="21"/>
                <w:highlight w:val="none"/>
              </w:rPr>
            </w:pPr>
            <w:r>
              <w:rPr>
                <w:rFonts w:hint="eastAsia"/>
                <w:color w:val="auto"/>
                <w:sz w:val="21"/>
                <w:szCs w:val="21"/>
                <w:highlight w:val="none"/>
              </w:rPr>
              <w:t>技术类</w:t>
            </w:r>
          </w:p>
          <w:p>
            <w:pPr>
              <w:pStyle w:val="31"/>
              <w:spacing w:line="320" w:lineRule="exact"/>
              <w:jc w:val="center"/>
              <w:rPr>
                <w:color w:val="auto"/>
                <w:sz w:val="21"/>
                <w:szCs w:val="21"/>
                <w:highlight w:val="none"/>
              </w:rPr>
            </w:pPr>
            <w:r>
              <w:rPr>
                <w:rFonts w:hint="eastAsia"/>
                <w:color w:val="auto"/>
                <w:sz w:val="21"/>
                <w:szCs w:val="21"/>
                <w:highlight w:val="none"/>
              </w:rPr>
              <w:t>评分</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四</w:t>
            </w:r>
          </w:p>
        </w:tc>
        <w:tc>
          <w:tcPr>
            <w:tcW w:w="67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售后保障</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452"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3分</w:t>
            </w:r>
          </w:p>
        </w:tc>
        <w:tc>
          <w:tcPr>
            <w:tcW w:w="2977" w:type="pct"/>
            <w:vAlign w:val="center"/>
          </w:tcPr>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1.投标人针对本项目配置的团队成员在满足招标文件要求(3人)的基础上，每增加1人具有人社部门职业技能鉴定中心颁发的二级及以上汽车维修工职业资格证书得1分；最多得1分。</w:t>
            </w:r>
          </w:p>
          <w:p>
            <w:pPr>
              <w:pStyle w:val="31"/>
              <w:spacing w:line="320" w:lineRule="exact"/>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注：①提供拟派人员有效身份证复印件和资格证书复印件；</w:t>
            </w:r>
          </w:p>
          <w:p>
            <w:pPr>
              <w:pStyle w:val="31"/>
              <w:spacing w:line="320" w:lineRule="exact"/>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②提供在职证明材料(投标人与拟派人员签订的劳动或者劳务合同)复印件；</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2.投标人在满足招标文件售后服务期一年的基础上，承诺售后服务期限每增加1年的加1分，最多加2分。</w:t>
            </w:r>
          </w:p>
          <w:p>
            <w:pPr>
              <w:pStyle w:val="31"/>
              <w:spacing w:line="320" w:lineRule="exact"/>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 xml:space="preserve">注：提供售后服务期限承诺函原件。 </w:t>
            </w:r>
          </w:p>
        </w:tc>
        <w:tc>
          <w:tcPr>
            <w:tcW w:w="506" w:type="pct"/>
            <w:vAlign w:val="center"/>
          </w:tcPr>
          <w:p>
            <w:pPr>
              <w:pStyle w:val="31"/>
              <w:spacing w:line="320" w:lineRule="exact"/>
              <w:jc w:val="center"/>
              <w:rPr>
                <w:color w:val="auto"/>
                <w:sz w:val="21"/>
                <w:szCs w:val="21"/>
                <w:highlight w:val="none"/>
              </w:rPr>
            </w:pPr>
            <w:r>
              <w:rPr>
                <w:rFonts w:hint="eastAsia"/>
                <w:color w:val="auto"/>
                <w:sz w:val="21"/>
                <w:szCs w:val="21"/>
                <w:highlight w:val="none"/>
              </w:rPr>
              <w:t>技术类</w:t>
            </w:r>
          </w:p>
          <w:p>
            <w:pPr>
              <w:pStyle w:val="31"/>
              <w:spacing w:line="320" w:lineRule="exact"/>
              <w:jc w:val="center"/>
              <w:rPr>
                <w:color w:val="auto"/>
                <w:sz w:val="21"/>
                <w:szCs w:val="21"/>
                <w:highlight w:val="none"/>
              </w:rPr>
            </w:pPr>
            <w:r>
              <w:rPr>
                <w:rFonts w:hint="eastAsia"/>
                <w:color w:val="auto"/>
                <w:sz w:val="21"/>
                <w:szCs w:val="21"/>
                <w:highlight w:val="none"/>
              </w:rPr>
              <w:t>评分</w:t>
            </w:r>
          </w:p>
          <w:p>
            <w:pPr>
              <w:pStyle w:val="31"/>
              <w:spacing w:line="320" w:lineRule="exact"/>
              <w:jc w:val="center"/>
              <w:rPr>
                <w:color w:val="auto"/>
                <w:sz w:val="21"/>
                <w:szCs w:val="21"/>
                <w:highlight w:val="none"/>
              </w:rPr>
            </w:pPr>
            <w:r>
              <w:rPr>
                <w:rFonts w:hint="eastAsia"/>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86" w:type="pct"/>
            <w:vMerge w:val="restar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cstheme="minorEastAsia"/>
                <w:color w:val="auto"/>
                <w:sz w:val="21"/>
                <w:szCs w:val="21"/>
                <w:highlight w:val="none"/>
              </w:rPr>
              <w:t>五</w:t>
            </w:r>
          </w:p>
        </w:tc>
        <w:tc>
          <w:tcPr>
            <w:tcW w:w="67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节能、环境</w:t>
            </w:r>
          </w:p>
          <w:p>
            <w:pPr>
              <w:wordWrap w:val="0"/>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标志、无线局域网产品</w:t>
            </w:r>
          </w:p>
          <w:p>
            <w:pPr>
              <w:wordWrap w:val="0"/>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452" w:type="pct"/>
            <w:vAlign w:val="center"/>
          </w:tcPr>
          <w:p>
            <w:pPr>
              <w:wordWrap w:val="0"/>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1分</w:t>
            </w:r>
          </w:p>
        </w:tc>
        <w:tc>
          <w:tcPr>
            <w:tcW w:w="2977" w:type="pct"/>
            <w:vAlign w:val="center"/>
          </w:tcPr>
          <w:p>
            <w:pPr>
              <w:wordWrap w:val="0"/>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w:t>
            </w:r>
            <w:r>
              <w:rPr>
                <w:rFonts w:hint="eastAsia"/>
                <w:color w:val="auto"/>
                <w:sz w:val="21"/>
                <w:szCs w:val="21"/>
                <w:highlight w:val="none"/>
              </w:rPr>
              <w:t>除节能产品政府采购品目清单中带“★”号</w:t>
            </w:r>
            <w:r>
              <w:rPr>
                <w:rFonts w:hint="eastAsia" w:asciiTheme="minorEastAsia" w:hAnsiTheme="minorEastAsia" w:eastAsiaTheme="minorEastAsia" w:cstheme="minorEastAsia"/>
                <w:color w:val="auto"/>
                <w:sz w:val="21"/>
                <w:szCs w:val="21"/>
                <w:highlight w:val="none"/>
              </w:rPr>
              <w:t>)的得0.5分，属于环境标志产品政府采购品目清单中的得0.5分，最多得</w:t>
            </w:r>
            <w:r>
              <w:rPr>
                <w:rFonts w:asciiTheme="minorEastAsia" w:hAnsiTheme="minorEastAsia" w:eastAsiaTheme="minorEastAsia" w:cstheme="minorEastAsia"/>
                <w:color w:val="auto"/>
                <w:sz w:val="21"/>
                <w:szCs w:val="21"/>
                <w:highlight w:val="none"/>
              </w:rPr>
              <w:t>0.5</w:t>
            </w:r>
            <w:r>
              <w:rPr>
                <w:rFonts w:hint="eastAsia" w:asciiTheme="minorEastAsia" w:hAnsiTheme="minorEastAsia" w:eastAsiaTheme="minorEastAsia" w:cstheme="minorEastAsia"/>
                <w:color w:val="auto"/>
                <w:sz w:val="21"/>
                <w:szCs w:val="21"/>
                <w:highlight w:val="none"/>
              </w:rPr>
              <w:t>分。</w:t>
            </w:r>
          </w:p>
          <w:p>
            <w:pPr>
              <w:wordWrap w:val="0"/>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2.认定为无线局域网认证产品的，供应商提供《无线局域网认证产品政府采购清单》对应页复印件并加盖供应商单位公章的得0.5分，最多得0.5分。</w:t>
            </w:r>
          </w:p>
          <w:p>
            <w:pPr>
              <w:wordWrap w:val="0"/>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wordWrap w:val="0"/>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②“无线局域网认证产品政府采购清单”以财政部会同国务院有关部门机构认定的为准。</w:t>
            </w:r>
          </w:p>
        </w:tc>
        <w:tc>
          <w:tcPr>
            <w:tcW w:w="506" w:type="pct"/>
            <w:vMerge w:val="restar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共同</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评分</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386" w:type="pct"/>
            <w:vMerge w:val="continue"/>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p>
        </w:tc>
        <w:tc>
          <w:tcPr>
            <w:tcW w:w="676"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扶持少数民族地区</w:t>
            </w:r>
          </w:p>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0.5%</w:t>
            </w:r>
          </w:p>
        </w:tc>
        <w:tc>
          <w:tcPr>
            <w:tcW w:w="452" w:type="pct"/>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0.5分</w:t>
            </w:r>
          </w:p>
        </w:tc>
        <w:tc>
          <w:tcPr>
            <w:tcW w:w="2977" w:type="pct"/>
            <w:vAlign w:val="center"/>
          </w:tcPr>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投标人注册在少数民族地区的得0.5分。</w:t>
            </w:r>
          </w:p>
          <w:p>
            <w:pPr>
              <w:pStyle w:val="31"/>
              <w:spacing w:line="320" w:lineRule="exac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注：指投标人注册地在民族自治区、自治州、自治县(含享受少数民族待遇的区县)、民族乡，提供营业执照副本复印件。</w:t>
            </w:r>
          </w:p>
        </w:tc>
        <w:tc>
          <w:tcPr>
            <w:tcW w:w="506" w:type="pct"/>
            <w:vMerge w:val="continue"/>
            <w:vAlign w:val="center"/>
          </w:tcPr>
          <w:p>
            <w:pPr>
              <w:pStyle w:val="31"/>
              <w:spacing w:line="320" w:lineRule="exact"/>
              <w:jc w:val="center"/>
              <w:rPr>
                <w:rFonts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pPr>
              <w:pStyle w:val="31"/>
              <w:spacing w:line="320" w:lineRule="exact"/>
              <w:jc w:val="both"/>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 1 \* GB3 \* MERGEFORMAT </w:instrText>
            </w:r>
            <w:r>
              <w:rPr>
                <w:rFonts w:hint="eastAsia" w:asciiTheme="minorEastAsia" w:hAnsiTheme="minorEastAsia" w:eastAsiaTheme="minorEastAsia" w:cstheme="minorEastAsia"/>
                <w:color w:val="auto"/>
                <w:sz w:val="21"/>
                <w:szCs w:val="21"/>
                <w:highlight w:val="none"/>
              </w:rPr>
              <w:fldChar w:fldCharType="separate"/>
            </w:r>
            <w:r>
              <w:rPr>
                <w:color w:val="auto"/>
                <w:sz w:val="21"/>
                <w:szCs w:val="21"/>
                <w:highlight w:val="none"/>
              </w:rPr>
              <w:t>①</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评分的取值按四舍五入法，小数点后保留两位。</w:t>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 2 \* GB3 \* MERGEFORMAT </w:instrText>
            </w:r>
            <w:r>
              <w:rPr>
                <w:rFonts w:hint="eastAsia" w:asciiTheme="minorEastAsia" w:hAnsiTheme="minorEastAsia" w:eastAsiaTheme="minorEastAsia" w:cstheme="minorEastAsia"/>
                <w:color w:val="auto"/>
                <w:sz w:val="21"/>
                <w:szCs w:val="21"/>
                <w:highlight w:val="none"/>
              </w:rPr>
              <w:fldChar w:fldCharType="separate"/>
            </w:r>
            <w:r>
              <w:rPr>
                <w:color w:val="auto"/>
                <w:sz w:val="21"/>
                <w:szCs w:val="21"/>
                <w:highlight w:val="none"/>
              </w:rPr>
              <w:t>②</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t>本表中要求提供各类证明材料</w:t>
            </w:r>
            <w:r>
              <w:rPr>
                <w:rFonts w:hint="eastAsia" w:asciiTheme="minorEastAsia" w:hAnsiTheme="minorEastAsia" w:cstheme="minorEastAsia"/>
                <w:color w:val="auto"/>
                <w:sz w:val="21"/>
                <w:szCs w:val="21"/>
                <w:highlight w:val="none"/>
              </w:rPr>
              <w:t>应清晰可辨</w:t>
            </w:r>
            <w:r>
              <w:rPr>
                <w:rFonts w:hint="eastAsia" w:asciiTheme="minorEastAsia" w:hAnsiTheme="minorEastAsia" w:eastAsiaTheme="minorEastAsia" w:cstheme="minorEastAsia"/>
                <w:color w:val="auto"/>
                <w:sz w:val="21"/>
                <w:szCs w:val="21"/>
                <w:highlight w:val="none"/>
              </w:rPr>
              <w:t>，均需加盖供应商单位公章，否则将不认可该项材料的有效性。</w:t>
            </w:r>
          </w:p>
        </w:tc>
      </w:tr>
    </w:tbl>
    <w:p>
      <w:pPr>
        <w:numPr>
          <w:ilvl w:val="1"/>
          <w:numId w:val="31"/>
        </w:numPr>
        <w:wordWrap w:val="0"/>
        <w:topLinePunct/>
        <w:ind w:firstLine="482" w:firstLineChars="200"/>
        <w:outlineLvl w:val="1"/>
        <w:rPr>
          <w:b/>
          <w:color w:val="auto"/>
          <w:highlight w:val="none"/>
        </w:rPr>
      </w:pPr>
      <w:bookmarkStart w:id="1181" w:name="_Toc12490"/>
      <w:r>
        <w:rPr>
          <w:rFonts w:hint="eastAsia"/>
          <w:b/>
          <w:color w:val="auto"/>
          <w:highlight w:val="none"/>
        </w:rPr>
        <w:t>复核</w:t>
      </w:r>
      <w:bookmarkEnd w:id="1179"/>
      <w:bookmarkEnd w:id="1181"/>
    </w:p>
    <w:p>
      <w:pPr>
        <w:numPr>
          <w:ilvl w:val="1"/>
          <w:numId w:val="36"/>
        </w:numPr>
        <w:wordWrap w:val="0"/>
        <w:topLinePunct/>
        <w:ind w:firstLine="480" w:firstLineChars="200"/>
        <w:rPr>
          <w:color w:val="auto"/>
          <w:highlight w:val="none"/>
        </w:rPr>
      </w:pPr>
      <w:r>
        <w:rPr>
          <w:rFonts w:hint="eastAsia"/>
          <w:color w:val="auto"/>
          <w:highlight w:val="none"/>
        </w:rPr>
        <w:t>评标委员会复核</w:t>
      </w:r>
    </w:p>
    <w:p>
      <w:pPr>
        <w:wordWrap w:val="0"/>
        <w:topLinePunct/>
        <w:ind w:firstLine="480" w:firstLineChars="200"/>
        <w:rPr>
          <w:snapToGrid w:val="0"/>
          <w:color w:val="auto"/>
          <w:highlight w:val="none"/>
        </w:rPr>
      </w:pPr>
      <w:r>
        <w:rPr>
          <w:rFonts w:hint="eastAsia"/>
          <w:snapToGrid w:val="0"/>
          <w:color w:val="auto"/>
          <w:highlight w:val="none"/>
        </w:rPr>
        <w:t>评分汇总结束后，评标委员会应当进行复核，特别要对拟推荐为中标候选供应商的、报价最低的、投标文件被认定为无效的进行重点复核。</w:t>
      </w:r>
    </w:p>
    <w:p>
      <w:pPr>
        <w:numPr>
          <w:ilvl w:val="1"/>
          <w:numId w:val="33"/>
        </w:numPr>
        <w:wordWrap w:val="0"/>
        <w:topLinePunct/>
        <w:ind w:firstLine="480" w:firstLineChars="200"/>
        <w:rPr>
          <w:color w:val="auto"/>
          <w:highlight w:val="none"/>
        </w:rPr>
      </w:pPr>
      <w:r>
        <w:rPr>
          <w:rFonts w:hint="eastAsia"/>
          <w:color w:val="auto"/>
          <w:highlight w:val="none"/>
        </w:rPr>
        <w:t>采购代理机构现场复核评审结果</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numPr>
          <w:ilvl w:val="3"/>
          <w:numId w:val="33"/>
        </w:numPr>
        <w:ind w:firstLine="480" w:firstLineChars="200"/>
        <w:rPr>
          <w:color w:val="auto"/>
          <w:highlight w:val="none"/>
        </w:rPr>
      </w:pPr>
      <w:r>
        <w:rPr>
          <w:rFonts w:hint="eastAsia"/>
          <w:color w:val="auto"/>
          <w:highlight w:val="none"/>
        </w:rPr>
        <w:t>分值汇总计算错误的；</w:t>
      </w:r>
    </w:p>
    <w:p>
      <w:pPr>
        <w:numPr>
          <w:ilvl w:val="3"/>
          <w:numId w:val="33"/>
        </w:numPr>
        <w:ind w:firstLine="480" w:firstLineChars="200"/>
        <w:rPr>
          <w:color w:val="auto"/>
          <w:highlight w:val="none"/>
        </w:rPr>
      </w:pPr>
      <w:r>
        <w:rPr>
          <w:rFonts w:hint="eastAsia"/>
          <w:color w:val="auto"/>
          <w:highlight w:val="none"/>
        </w:rPr>
        <w:t>分项评分超出评分标准范围的；</w:t>
      </w:r>
    </w:p>
    <w:p>
      <w:pPr>
        <w:numPr>
          <w:ilvl w:val="3"/>
          <w:numId w:val="33"/>
        </w:numPr>
        <w:ind w:firstLine="480" w:firstLineChars="200"/>
        <w:rPr>
          <w:color w:val="auto"/>
          <w:highlight w:val="none"/>
        </w:rPr>
      </w:pPr>
      <w:r>
        <w:rPr>
          <w:rFonts w:hint="eastAsia"/>
          <w:color w:val="auto"/>
          <w:highlight w:val="none"/>
        </w:rPr>
        <w:t>评标委员会成员对客观评审因素评分不一致的；</w:t>
      </w:r>
    </w:p>
    <w:p>
      <w:pPr>
        <w:numPr>
          <w:ilvl w:val="3"/>
          <w:numId w:val="33"/>
        </w:numPr>
        <w:ind w:firstLine="480" w:firstLineChars="200"/>
        <w:rPr>
          <w:color w:val="auto"/>
          <w:highlight w:val="none"/>
        </w:rPr>
      </w:pPr>
      <w:r>
        <w:rPr>
          <w:rFonts w:hint="eastAsia"/>
          <w:color w:val="auto"/>
          <w:highlight w:val="none"/>
        </w:rPr>
        <w:t>经评标委员会认定评分畸高、畸低的。</w:t>
      </w:r>
    </w:p>
    <w:p>
      <w:pPr>
        <w:pStyle w:val="35"/>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5"/>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采购代理机构复核过程中，评标委员会不得离开评标现场。</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有下列情形之一的，不得修改评标结果或者重新评标：</w:t>
      </w:r>
    </w:p>
    <w:p>
      <w:pPr>
        <w:numPr>
          <w:ilvl w:val="3"/>
          <w:numId w:val="33"/>
        </w:numPr>
        <w:ind w:firstLine="480" w:firstLineChars="200"/>
        <w:rPr>
          <w:color w:val="auto"/>
          <w:highlight w:val="none"/>
        </w:rPr>
      </w:pPr>
      <w:r>
        <w:rPr>
          <w:rFonts w:hint="eastAsia"/>
          <w:color w:val="auto"/>
          <w:highlight w:val="none"/>
        </w:rPr>
        <w:t>评标委员会已经出具评标报告并且离开评标现场的；</w:t>
      </w:r>
    </w:p>
    <w:p>
      <w:pPr>
        <w:numPr>
          <w:ilvl w:val="3"/>
          <w:numId w:val="33"/>
        </w:numPr>
        <w:ind w:firstLine="480" w:firstLineChars="200"/>
        <w:rPr>
          <w:color w:val="auto"/>
          <w:highlight w:val="none"/>
        </w:rPr>
      </w:pPr>
      <w:r>
        <w:rPr>
          <w:rFonts w:hint="eastAsia"/>
          <w:color w:val="auto"/>
          <w:highlight w:val="none"/>
        </w:rPr>
        <w:t>采购代理机构现场复核时，复核工作人员数量不足的；</w:t>
      </w:r>
    </w:p>
    <w:p>
      <w:pPr>
        <w:numPr>
          <w:ilvl w:val="3"/>
          <w:numId w:val="33"/>
        </w:numPr>
        <w:ind w:firstLine="480" w:firstLineChars="200"/>
        <w:rPr>
          <w:color w:val="auto"/>
          <w:highlight w:val="none"/>
        </w:rPr>
      </w:pPr>
      <w:r>
        <w:rPr>
          <w:rFonts w:hint="eastAsia"/>
          <w:color w:val="auto"/>
          <w:highlight w:val="none"/>
        </w:rPr>
        <w:t>采购代理机构现场复核时，没有采购监督人员现场监督的；</w:t>
      </w:r>
    </w:p>
    <w:p>
      <w:pPr>
        <w:numPr>
          <w:ilvl w:val="3"/>
          <w:numId w:val="33"/>
        </w:numPr>
        <w:ind w:firstLine="480" w:firstLineChars="200"/>
        <w:rPr>
          <w:color w:val="auto"/>
          <w:highlight w:val="none"/>
        </w:rPr>
      </w:pPr>
      <w:r>
        <w:rPr>
          <w:rFonts w:hint="eastAsia"/>
          <w:color w:val="auto"/>
          <w:highlight w:val="none"/>
        </w:rPr>
        <w:t>采购代理机构现场复核内容超出规定范围的；</w:t>
      </w:r>
    </w:p>
    <w:p>
      <w:pPr>
        <w:numPr>
          <w:ilvl w:val="3"/>
          <w:numId w:val="33"/>
        </w:numPr>
        <w:ind w:firstLine="480" w:firstLineChars="200"/>
        <w:rPr>
          <w:color w:val="auto"/>
          <w:highlight w:val="none"/>
        </w:rPr>
      </w:pPr>
      <w:r>
        <w:rPr>
          <w:rFonts w:hint="eastAsia"/>
          <w:color w:val="auto"/>
          <w:highlight w:val="none"/>
        </w:rPr>
        <w:t>采购代理机构未提供书面建议的。</w:t>
      </w:r>
    </w:p>
    <w:p>
      <w:pPr>
        <w:numPr>
          <w:ilvl w:val="1"/>
          <w:numId w:val="31"/>
        </w:numPr>
        <w:wordWrap w:val="0"/>
        <w:topLinePunct/>
        <w:ind w:firstLine="482" w:firstLineChars="200"/>
        <w:outlineLvl w:val="1"/>
        <w:rPr>
          <w:b/>
          <w:color w:val="auto"/>
          <w:highlight w:val="none"/>
        </w:rPr>
      </w:pPr>
      <w:bookmarkStart w:id="1182" w:name="_Toc9183"/>
      <w:bookmarkStart w:id="1183" w:name="_Toc14945"/>
      <w:bookmarkStart w:id="1184" w:name="_Toc4528"/>
      <w:bookmarkStart w:id="1185" w:name="_Toc31256"/>
      <w:r>
        <w:rPr>
          <w:rFonts w:hint="eastAsia"/>
          <w:b/>
          <w:color w:val="auto"/>
          <w:highlight w:val="none"/>
        </w:rPr>
        <w:t>推荐中标候选供应商</w:t>
      </w:r>
      <w:bookmarkEnd w:id="1182"/>
      <w:bookmarkEnd w:id="1183"/>
      <w:bookmarkEnd w:id="1184"/>
      <w:bookmarkEnd w:id="1185"/>
    </w:p>
    <w:p>
      <w:pPr>
        <w:pStyle w:val="35"/>
        <w:rPr>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5"/>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numPr>
          <w:ilvl w:val="1"/>
          <w:numId w:val="31"/>
        </w:numPr>
        <w:wordWrap w:val="0"/>
        <w:topLinePunct/>
        <w:ind w:firstLine="482" w:firstLineChars="200"/>
        <w:outlineLvl w:val="1"/>
        <w:rPr>
          <w:b/>
          <w:color w:val="auto"/>
          <w:highlight w:val="none"/>
        </w:rPr>
      </w:pPr>
      <w:bookmarkStart w:id="1186" w:name="_Toc4909"/>
      <w:bookmarkStart w:id="1187" w:name="_Toc11734"/>
      <w:bookmarkStart w:id="1188" w:name="_Toc7543"/>
      <w:bookmarkStart w:id="1189" w:name="_Toc7685"/>
      <w:r>
        <w:rPr>
          <w:rFonts w:hint="eastAsia"/>
          <w:b/>
          <w:color w:val="auto"/>
          <w:highlight w:val="none"/>
        </w:rPr>
        <w:t>出具评标报告</w:t>
      </w:r>
      <w:bookmarkEnd w:id="1186"/>
      <w:bookmarkEnd w:id="1187"/>
      <w:bookmarkEnd w:id="1188"/>
      <w:bookmarkEnd w:id="1189"/>
    </w:p>
    <w:p>
      <w:pPr>
        <w:pStyle w:val="35"/>
        <w:rPr>
          <w:color w:val="auto"/>
          <w:highlight w:val="none"/>
        </w:rPr>
      </w:pPr>
      <w:r>
        <w:rPr>
          <w:rFonts w:hint="eastAsia"/>
          <w:color w:val="auto"/>
          <w:highlight w:val="none"/>
        </w:rPr>
        <w:t>评标委员会推荐中标候选供应商后，应当向招标采购单位出具评标报告。评标报告应当包括下列内容：</w:t>
      </w:r>
    </w:p>
    <w:p>
      <w:pPr>
        <w:numPr>
          <w:ilvl w:val="1"/>
          <w:numId w:val="37"/>
        </w:numPr>
        <w:wordWrap w:val="0"/>
        <w:topLinePunct/>
        <w:ind w:firstLine="480" w:firstLineChars="200"/>
        <w:rPr>
          <w:color w:val="auto"/>
          <w:highlight w:val="none"/>
        </w:rPr>
      </w:pPr>
      <w:r>
        <w:rPr>
          <w:rFonts w:hint="eastAsia"/>
          <w:color w:val="auto"/>
          <w:highlight w:val="none"/>
        </w:rPr>
        <w:t>招标公告刊登的媒体名称、开标日期和地点；</w:t>
      </w:r>
    </w:p>
    <w:p>
      <w:pPr>
        <w:numPr>
          <w:ilvl w:val="1"/>
          <w:numId w:val="37"/>
        </w:numPr>
        <w:wordWrap w:val="0"/>
        <w:topLinePunct/>
        <w:ind w:firstLine="480" w:firstLineChars="200"/>
        <w:rPr>
          <w:color w:val="auto"/>
          <w:highlight w:val="none"/>
        </w:rPr>
      </w:pPr>
      <w:r>
        <w:rPr>
          <w:rFonts w:hint="eastAsia"/>
          <w:color w:val="auto"/>
          <w:highlight w:val="none"/>
        </w:rPr>
        <w:t>投标人名单和评标委员会成员名单；</w:t>
      </w:r>
    </w:p>
    <w:p>
      <w:pPr>
        <w:numPr>
          <w:ilvl w:val="1"/>
          <w:numId w:val="37"/>
        </w:numPr>
        <w:wordWrap w:val="0"/>
        <w:topLinePunct/>
        <w:ind w:firstLine="480" w:firstLineChars="200"/>
        <w:rPr>
          <w:color w:val="auto"/>
          <w:highlight w:val="none"/>
        </w:rPr>
      </w:pPr>
      <w:r>
        <w:rPr>
          <w:rFonts w:hint="eastAsia"/>
          <w:color w:val="auto"/>
          <w:highlight w:val="none"/>
        </w:rPr>
        <w:t>评标方法和标准；</w:t>
      </w:r>
    </w:p>
    <w:p>
      <w:pPr>
        <w:numPr>
          <w:ilvl w:val="1"/>
          <w:numId w:val="37"/>
        </w:numPr>
        <w:wordWrap w:val="0"/>
        <w:topLinePunct/>
        <w:ind w:firstLine="480" w:firstLineChars="200"/>
        <w:rPr>
          <w:color w:val="auto"/>
          <w:highlight w:val="none"/>
        </w:rPr>
      </w:pPr>
      <w:r>
        <w:rPr>
          <w:rFonts w:hint="eastAsia"/>
          <w:color w:val="auto"/>
          <w:highlight w:val="none"/>
        </w:rPr>
        <w:t>开标记录和评标情况及说明，包括无效投标人名单及原因；</w:t>
      </w:r>
    </w:p>
    <w:p>
      <w:pPr>
        <w:numPr>
          <w:ilvl w:val="1"/>
          <w:numId w:val="37"/>
        </w:numPr>
        <w:wordWrap w:val="0"/>
        <w:topLinePunct/>
        <w:ind w:firstLine="480" w:firstLineChars="200"/>
        <w:rPr>
          <w:color w:val="auto"/>
          <w:highlight w:val="none"/>
        </w:rPr>
      </w:pPr>
      <w:r>
        <w:rPr>
          <w:rFonts w:hint="eastAsia"/>
          <w:color w:val="auto"/>
          <w:highlight w:val="none"/>
        </w:rPr>
        <w:t>评标结果，确定的中标候选人名单或者经采购人委托直接确定的中标人；</w:t>
      </w:r>
    </w:p>
    <w:p>
      <w:pPr>
        <w:numPr>
          <w:ilvl w:val="1"/>
          <w:numId w:val="37"/>
        </w:numPr>
        <w:wordWrap w:val="0"/>
        <w:topLinePunct/>
        <w:ind w:firstLine="480" w:firstLineChars="200"/>
        <w:rPr>
          <w:color w:val="auto"/>
          <w:highlight w:val="none"/>
        </w:rPr>
      </w:pPr>
      <w:r>
        <w:rPr>
          <w:rFonts w:hint="eastAsia"/>
          <w:color w:val="auto"/>
          <w:highlight w:val="none"/>
        </w:rPr>
        <w:t>其他需要说明的情况，包括评标过程中投标人根据评标委员会要求进行的澄清、说明或者补正，评标委员会成员的更换等。</w:t>
      </w:r>
    </w:p>
    <w:p>
      <w:pPr>
        <w:pStyle w:val="53"/>
        <w:ind w:firstLine="482"/>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numPr>
          <w:ilvl w:val="1"/>
          <w:numId w:val="31"/>
        </w:numPr>
        <w:wordWrap w:val="0"/>
        <w:topLinePunct/>
        <w:ind w:firstLine="482" w:firstLineChars="200"/>
        <w:outlineLvl w:val="1"/>
        <w:rPr>
          <w:b/>
          <w:color w:val="auto"/>
          <w:highlight w:val="none"/>
        </w:rPr>
      </w:pPr>
      <w:bookmarkStart w:id="1190" w:name="_Toc17073"/>
      <w:bookmarkStart w:id="1191" w:name="_Toc14914"/>
      <w:bookmarkStart w:id="1192" w:name="_Toc16297"/>
      <w:bookmarkStart w:id="1193" w:name="_Toc15423"/>
      <w:r>
        <w:rPr>
          <w:rFonts w:hint="eastAsia"/>
          <w:b/>
          <w:color w:val="auto"/>
          <w:highlight w:val="none"/>
        </w:rPr>
        <w:t>废标</w:t>
      </w:r>
      <w:bookmarkEnd w:id="1190"/>
      <w:bookmarkEnd w:id="1191"/>
      <w:bookmarkEnd w:id="1192"/>
      <w:bookmarkEnd w:id="1193"/>
    </w:p>
    <w:p>
      <w:pPr>
        <w:pStyle w:val="35"/>
        <w:rPr>
          <w:color w:val="auto"/>
          <w:highlight w:val="none"/>
        </w:rPr>
      </w:pPr>
      <w:r>
        <w:rPr>
          <w:rFonts w:hint="eastAsia"/>
          <w:color w:val="auto"/>
          <w:highlight w:val="none"/>
        </w:rPr>
        <w:t>本次政府采购活动中，出现下列情形之一的，予以废标：</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符合专业条件的供应商或者对招标文件作实质响应的供应商不足三家的；</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出现影响采购公正的违法、违规行为的；</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投标人的报价均超过了采购预算或单价最高限价，采购人不能支付的；</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因重大变故，采购任务取消的。</w:t>
      </w:r>
    </w:p>
    <w:p>
      <w:pPr>
        <w:pStyle w:val="35"/>
        <w:rPr>
          <w:color w:val="auto"/>
          <w:highlight w:val="none"/>
        </w:rPr>
      </w:pPr>
      <w:r>
        <w:rPr>
          <w:rFonts w:hint="eastAsia"/>
          <w:color w:val="auto"/>
          <w:highlight w:val="none"/>
        </w:rPr>
        <w:t>废标后，采购代理机构应在“四川政府采购网”公告，并公告废标的理由。</w:t>
      </w:r>
    </w:p>
    <w:p>
      <w:pPr>
        <w:numPr>
          <w:ilvl w:val="1"/>
          <w:numId w:val="31"/>
        </w:numPr>
        <w:wordWrap w:val="0"/>
        <w:topLinePunct/>
        <w:ind w:firstLine="482" w:firstLineChars="200"/>
        <w:outlineLvl w:val="1"/>
        <w:rPr>
          <w:b/>
          <w:color w:val="auto"/>
          <w:highlight w:val="none"/>
        </w:rPr>
      </w:pPr>
      <w:bookmarkStart w:id="1194" w:name="_Toc19033"/>
      <w:bookmarkStart w:id="1195" w:name="_Toc309897567"/>
      <w:bookmarkStart w:id="1196" w:name="_Toc327196344"/>
      <w:bookmarkStart w:id="1197" w:name="_Toc308188202"/>
      <w:bookmarkStart w:id="1198" w:name="_Toc23345"/>
      <w:bookmarkStart w:id="1199" w:name="_Toc319439949"/>
      <w:bookmarkStart w:id="1200" w:name="_Toc319440193"/>
      <w:bookmarkStart w:id="1201" w:name="_Toc31281"/>
      <w:bookmarkStart w:id="1202" w:name="_Toc768"/>
      <w:bookmarkStart w:id="1203" w:name="_Toc307501158"/>
      <w:bookmarkStart w:id="1204" w:name="_Toc10846"/>
      <w:bookmarkStart w:id="1205" w:name="_Toc308084649"/>
      <w:bookmarkStart w:id="1206" w:name="_Toc24655"/>
      <w:bookmarkStart w:id="1207" w:name="_Toc4794"/>
      <w:bookmarkStart w:id="1208" w:name="_Toc7121"/>
      <w:bookmarkStart w:id="1209" w:name="_Toc25875"/>
      <w:bookmarkStart w:id="1210" w:name="_Toc307564900"/>
      <w:bookmarkStart w:id="1211" w:name="_Toc13169"/>
      <w:bookmarkStart w:id="1212" w:name="_Toc21352"/>
      <w:bookmarkStart w:id="1213" w:name="_Toc2453"/>
      <w:bookmarkStart w:id="1214" w:name="_Toc8429"/>
      <w:bookmarkStart w:id="1215" w:name="_Toc4475"/>
      <w:r>
        <w:rPr>
          <w:rFonts w:hint="eastAsia"/>
          <w:b/>
          <w:color w:val="auto"/>
          <w:highlight w:val="none"/>
        </w:rPr>
        <w:t>定标</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Start w:id="1216" w:name="_Toc217446061"/>
    </w:p>
    <w:p>
      <w:pPr>
        <w:numPr>
          <w:ilvl w:val="1"/>
          <w:numId w:val="38"/>
        </w:numPr>
        <w:wordWrap w:val="0"/>
        <w:topLinePunct/>
        <w:ind w:firstLine="480" w:firstLineChars="200"/>
        <w:rPr>
          <w:color w:val="auto"/>
          <w:highlight w:val="none"/>
        </w:rPr>
      </w:pPr>
      <w:r>
        <w:rPr>
          <w:rFonts w:hint="eastAsia"/>
          <w:color w:val="auto"/>
          <w:highlight w:val="none"/>
        </w:rPr>
        <w:t>定标原则</w:t>
      </w:r>
      <w:bookmarkEnd w:id="1216"/>
      <w:r>
        <w:rPr>
          <w:rFonts w:hint="eastAsia"/>
          <w:color w:val="auto"/>
          <w:highlight w:val="none"/>
        </w:rPr>
        <w:t>：本项目根据评委会推荐的中标候选人名单，按顺序确定第1名为中标人。</w:t>
      </w:r>
    </w:p>
    <w:p>
      <w:pPr>
        <w:numPr>
          <w:ilvl w:val="1"/>
          <w:numId w:val="38"/>
        </w:numPr>
        <w:wordWrap w:val="0"/>
        <w:topLinePunct/>
        <w:ind w:firstLine="480" w:firstLineChars="200"/>
        <w:rPr>
          <w:color w:val="auto"/>
          <w:highlight w:val="none"/>
        </w:rPr>
      </w:pPr>
      <w:bookmarkStart w:id="1217" w:name="_Toc217446062"/>
      <w:r>
        <w:rPr>
          <w:rFonts w:hint="eastAsia"/>
          <w:color w:val="auto"/>
          <w:highlight w:val="none"/>
        </w:rPr>
        <w:t>定标程序</w:t>
      </w:r>
      <w:bookmarkEnd w:id="1217"/>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评标委员会根据全体评标成员签字的原始评标记录和评标结果编写评标报告，推荐不少于三名中标候选人，并按照综合得分高低标明排列顺序。</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采购代理机构在评标结束后2个工作日内将评标报告送采购人。</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35"/>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采购代理机构在中标人确定后2个工作日内，在“四川政府采购网”发布中标公告，同时向中标人发出中标通知书，</w:t>
      </w:r>
      <w:r>
        <w:rPr>
          <w:rFonts w:hint="eastAsia"/>
          <w:snapToGrid w:val="0"/>
          <w:color w:val="auto"/>
          <w:highlight w:val="none"/>
          <w:lang w:val="zh-CN"/>
        </w:rPr>
        <w:t>中标供应商自行登录“政府采购云平台”下载中标通知书</w:t>
      </w:r>
      <w:r>
        <w:rPr>
          <w:rFonts w:hint="eastAsia"/>
          <w:snapToGrid w:val="0"/>
          <w:color w:val="auto"/>
          <w:highlight w:val="none"/>
        </w:rPr>
        <w:t>。</w:t>
      </w:r>
    </w:p>
    <w:p>
      <w:pPr>
        <w:numPr>
          <w:ilvl w:val="2"/>
          <w:numId w:val="33"/>
        </w:numPr>
        <w:wordWrap w:val="0"/>
        <w:topLinePunct/>
        <w:ind w:firstLine="480" w:firstLineChars="200"/>
        <w:rPr>
          <w:snapToGrid w:val="0"/>
          <w:color w:val="auto"/>
          <w:highlight w:val="none"/>
        </w:rPr>
      </w:pPr>
      <w:r>
        <w:rPr>
          <w:rFonts w:hint="eastAsia"/>
          <w:snapToGrid w:val="0"/>
          <w:color w:val="auto"/>
          <w:highlight w:val="none"/>
        </w:rPr>
        <w:t>采购人、采购代理机构不解释中标或未中标原因，招标采购单位不退回投标人投标文件和其他投标资料。</w:t>
      </w:r>
    </w:p>
    <w:p>
      <w:pPr>
        <w:numPr>
          <w:ilvl w:val="1"/>
          <w:numId w:val="31"/>
        </w:numPr>
        <w:wordWrap w:val="0"/>
        <w:topLinePunct/>
        <w:ind w:firstLine="482" w:firstLineChars="200"/>
        <w:outlineLvl w:val="1"/>
        <w:rPr>
          <w:b/>
          <w:color w:val="auto"/>
          <w:highlight w:val="none"/>
        </w:rPr>
      </w:pPr>
      <w:bookmarkStart w:id="1218" w:name="_Toc14102"/>
      <w:bookmarkStart w:id="1219" w:name="_Toc27662"/>
      <w:bookmarkStart w:id="1220" w:name="_Toc22537"/>
      <w:bookmarkStart w:id="1221" w:name="_Toc8004"/>
      <w:bookmarkStart w:id="1222" w:name="_Toc8099"/>
      <w:bookmarkStart w:id="1223" w:name="_Toc15982"/>
      <w:bookmarkStart w:id="1224" w:name="_Toc27423"/>
      <w:bookmarkStart w:id="1225" w:name="_Toc319439950"/>
      <w:bookmarkStart w:id="1226" w:name="_Toc308084650"/>
      <w:bookmarkStart w:id="1227" w:name="_Toc13587"/>
      <w:bookmarkStart w:id="1228" w:name="_Toc327196345"/>
      <w:bookmarkStart w:id="1229" w:name="_Toc25198"/>
      <w:bookmarkStart w:id="1230" w:name="_Toc309897568"/>
      <w:bookmarkStart w:id="1231" w:name="_Toc307564901"/>
      <w:bookmarkStart w:id="1232" w:name="_Toc307501159"/>
      <w:bookmarkStart w:id="1233" w:name="_Toc32114"/>
      <w:bookmarkStart w:id="1234" w:name="_Toc16879"/>
      <w:bookmarkStart w:id="1235" w:name="_Toc25084"/>
      <w:bookmarkStart w:id="1236" w:name="_Toc10903"/>
      <w:bookmarkStart w:id="1237" w:name="_Toc319440194"/>
      <w:bookmarkStart w:id="1238" w:name="_Toc22782"/>
      <w:bookmarkStart w:id="1239" w:name="_Toc308188203"/>
      <w:r>
        <w:rPr>
          <w:rFonts w:hint="eastAsia"/>
          <w:b/>
          <w:color w:val="auto"/>
          <w:highlight w:val="none"/>
        </w:rPr>
        <w:t>评标专家在政府采购活动中承担以下义务</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numPr>
          <w:ilvl w:val="1"/>
          <w:numId w:val="39"/>
        </w:numPr>
        <w:wordWrap w:val="0"/>
        <w:topLinePunct/>
        <w:ind w:firstLine="480" w:firstLineChars="200"/>
        <w:rPr>
          <w:color w:val="auto"/>
          <w:highlight w:val="none"/>
        </w:rPr>
      </w:pPr>
      <w:r>
        <w:rPr>
          <w:rFonts w:hint="eastAsia"/>
          <w:color w:val="auto"/>
          <w:highlight w:val="none"/>
        </w:rPr>
        <w:t>遵守评标工作纪律；</w:t>
      </w:r>
    </w:p>
    <w:p>
      <w:pPr>
        <w:numPr>
          <w:ilvl w:val="1"/>
          <w:numId w:val="39"/>
        </w:numPr>
        <w:wordWrap w:val="0"/>
        <w:topLinePunct/>
        <w:ind w:firstLine="480" w:firstLineChars="200"/>
        <w:rPr>
          <w:color w:val="auto"/>
          <w:highlight w:val="none"/>
        </w:rPr>
      </w:pPr>
      <w:r>
        <w:rPr>
          <w:rFonts w:hint="eastAsia"/>
          <w:color w:val="auto"/>
          <w:highlight w:val="none"/>
        </w:rPr>
        <w:t>按照客观、公正、审慎的原则，根据招标文件规定的评标程序、评标方法和评标标准进行独立评标；</w:t>
      </w:r>
    </w:p>
    <w:p>
      <w:pPr>
        <w:numPr>
          <w:ilvl w:val="1"/>
          <w:numId w:val="39"/>
        </w:numPr>
        <w:wordWrap w:val="0"/>
        <w:topLinePunct/>
        <w:ind w:firstLine="480" w:firstLineChars="200"/>
        <w:rPr>
          <w:color w:val="auto"/>
          <w:highlight w:val="none"/>
        </w:rPr>
      </w:pPr>
      <w:r>
        <w:rPr>
          <w:rFonts w:hint="eastAsia"/>
          <w:color w:val="auto"/>
          <w:highlight w:val="none"/>
        </w:rPr>
        <w:t>不得泄露评标文件、评标情况和在评标过程中获悉的商业秘密；</w:t>
      </w:r>
    </w:p>
    <w:p>
      <w:pPr>
        <w:numPr>
          <w:ilvl w:val="1"/>
          <w:numId w:val="39"/>
        </w:numPr>
        <w:wordWrap w:val="0"/>
        <w:topLinePunct/>
        <w:ind w:firstLine="480" w:firstLineChars="200"/>
        <w:rPr>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numPr>
          <w:ilvl w:val="1"/>
          <w:numId w:val="39"/>
        </w:numPr>
        <w:wordWrap w:val="0"/>
        <w:topLinePunct/>
        <w:ind w:firstLine="480" w:firstLineChars="200"/>
        <w:rPr>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numPr>
          <w:ilvl w:val="1"/>
          <w:numId w:val="39"/>
        </w:numPr>
        <w:wordWrap w:val="0"/>
        <w:topLinePunct/>
        <w:ind w:firstLine="480" w:firstLineChars="200"/>
        <w:rPr>
          <w:color w:val="auto"/>
          <w:highlight w:val="none"/>
        </w:rPr>
      </w:pPr>
      <w:r>
        <w:rPr>
          <w:rFonts w:hint="eastAsia"/>
          <w:color w:val="auto"/>
          <w:highlight w:val="none"/>
        </w:rPr>
        <w:t>及时向财政、监察等部门举报在评标过程中受到的非法干预情况；</w:t>
      </w:r>
    </w:p>
    <w:p>
      <w:pPr>
        <w:numPr>
          <w:ilvl w:val="1"/>
          <w:numId w:val="39"/>
        </w:numPr>
        <w:wordWrap w:val="0"/>
        <w:topLinePunct/>
        <w:ind w:firstLine="480" w:firstLineChars="200"/>
        <w:rPr>
          <w:color w:val="auto"/>
          <w:highlight w:val="none"/>
        </w:rPr>
      </w:pPr>
      <w:r>
        <w:rPr>
          <w:rFonts w:hint="eastAsia"/>
          <w:color w:val="auto"/>
          <w:highlight w:val="none"/>
        </w:rPr>
        <w:t>配合答复处理供应商的询问、质疑和投诉等事项；</w:t>
      </w:r>
    </w:p>
    <w:p>
      <w:pPr>
        <w:numPr>
          <w:ilvl w:val="1"/>
          <w:numId w:val="39"/>
        </w:numPr>
        <w:wordWrap w:val="0"/>
        <w:topLinePunct/>
        <w:ind w:firstLine="480" w:firstLineChars="200"/>
        <w:rPr>
          <w:color w:val="auto"/>
          <w:highlight w:val="none"/>
        </w:rPr>
      </w:pPr>
      <w:r>
        <w:rPr>
          <w:rFonts w:hint="eastAsia"/>
          <w:color w:val="auto"/>
          <w:highlight w:val="none"/>
        </w:rPr>
        <w:t>法律、法规和规章规定的其他义务。</w:t>
      </w:r>
    </w:p>
    <w:p>
      <w:pPr>
        <w:numPr>
          <w:ilvl w:val="1"/>
          <w:numId w:val="31"/>
        </w:numPr>
        <w:wordWrap w:val="0"/>
        <w:topLinePunct/>
        <w:ind w:firstLine="482" w:firstLineChars="200"/>
        <w:outlineLvl w:val="1"/>
        <w:rPr>
          <w:b/>
          <w:color w:val="auto"/>
          <w:highlight w:val="none"/>
        </w:rPr>
      </w:pPr>
      <w:bookmarkStart w:id="1240" w:name="_Toc4379"/>
      <w:bookmarkStart w:id="1241" w:name="_Toc28428"/>
      <w:bookmarkStart w:id="1242" w:name="_Toc6366"/>
      <w:bookmarkStart w:id="1243" w:name="_Toc29759"/>
      <w:bookmarkStart w:id="1244" w:name="_Toc13235"/>
      <w:bookmarkStart w:id="1245" w:name="_Toc319440195"/>
      <w:bookmarkStart w:id="1246" w:name="_Toc12088"/>
      <w:bookmarkStart w:id="1247" w:name="_Toc24913"/>
      <w:bookmarkStart w:id="1248" w:name="_Toc3688"/>
      <w:bookmarkStart w:id="1249" w:name="_Toc327196346"/>
      <w:bookmarkStart w:id="1250" w:name="_Toc22368"/>
      <w:bookmarkStart w:id="1251" w:name="_Toc19071"/>
      <w:bookmarkStart w:id="1252" w:name="_Toc30872"/>
      <w:bookmarkStart w:id="1253" w:name="_Toc4966"/>
      <w:bookmarkStart w:id="1254" w:name="_Toc27047"/>
      <w:bookmarkStart w:id="1255" w:name="_Toc1690"/>
      <w:r>
        <w:rPr>
          <w:rFonts w:hint="eastAsia"/>
          <w:b/>
          <w:color w:val="auto"/>
          <w:highlight w:val="none"/>
        </w:rPr>
        <w:t>评标专家在政府采购活动中应当遵守以下工作纪律</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pPr>
        <w:numPr>
          <w:ilvl w:val="1"/>
          <w:numId w:val="40"/>
        </w:numPr>
        <w:wordWrap w:val="0"/>
        <w:topLinePunct/>
        <w:ind w:firstLine="480" w:firstLineChars="200"/>
        <w:rPr>
          <w:color w:val="auto"/>
          <w:highlight w:val="none"/>
        </w:rPr>
      </w:pPr>
      <w:r>
        <w:rPr>
          <w:rFonts w:hint="eastAsia"/>
          <w:color w:val="auto"/>
          <w:highlight w:val="none"/>
        </w:rPr>
        <w:t>遵行《中华人民共和国政府采购法》第十二条和《中华人民共和国政府采购法实施条例》第九条及财政部关于回避的规定；</w:t>
      </w:r>
    </w:p>
    <w:p>
      <w:pPr>
        <w:numPr>
          <w:ilvl w:val="1"/>
          <w:numId w:val="40"/>
        </w:numPr>
        <w:wordWrap w:val="0"/>
        <w:topLinePunct/>
        <w:ind w:firstLine="480" w:firstLineChars="200"/>
        <w:rPr>
          <w:color w:val="auto"/>
          <w:highlight w:val="none"/>
        </w:rPr>
      </w:pPr>
      <w:r>
        <w:rPr>
          <w:rFonts w:hint="eastAsia"/>
          <w:color w:val="auto"/>
          <w:highlight w:val="none"/>
        </w:rPr>
        <w:t>评标前，应当将通讯工具或者相关电子设备交由招标采购单位统一保管；</w:t>
      </w:r>
    </w:p>
    <w:p>
      <w:pPr>
        <w:numPr>
          <w:ilvl w:val="1"/>
          <w:numId w:val="40"/>
        </w:numPr>
        <w:wordWrap w:val="0"/>
        <w:topLinePunct/>
        <w:ind w:firstLine="480" w:firstLineChars="200"/>
        <w:rPr>
          <w:color w:val="auto"/>
          <w:highlight w:val="none"/>
        </w:rPr>
      </w:pPr>
      <w:r>
        <w:rPr>
          <w:rFonts w:hint="eastAsia"/>
          <w:color w:val="auto"/>
          <w:highlight w:val="none"/>
        </w:rPr>
        <w:t>评标过程中，不得与外界联系，因发生不可预见情况，确实需要与外界联系的，应当在监督人员监督之下办理；</w:t>
      </w:r>
    </w:p>
    <w:p>
      <w:pPr>
        <w:numPr>
          <w:ilvl w:val="1"/>
          <w:numId w:val="40"/>
        </w:numPr>
        <w:wordWrap w:val="0"/>
        <w:topLinePunct/>
        <w:ind w:firstLine="480" w:firstLineChars="200"/>
        <w:rPr>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numPr>
          <w:ilvl w:val="1"/>
          <w:numId w:val="40"/>
        </w:numPr>
        <w:wordWrap w:val="0"/>
        <w:topLinePunct/>
        <w:ind w:firstLine="480" w:firstLineChars="200"/>
        <w:rPr>
          <w:color w:val="auto"/>
          <w:highlight w:val="none"/>
        </w:rPr>
      </w:pPr>
      <w:r>
        <w:rPr>
          <w:rFonts w:hint="eastAsia"/>
          <w:color w:val="auto"/>
          <w:highlight w:val="none"/>
        </w:rPr>
        <w:t>在评标过程中和评标结束后，不得记录、复制或带走任何评标资料，除因规定的义务外，不得向外界透露评标内容；</w:t>
      </w:r>
    </w:p>
    <w:p>
      <w:pPr>
        <w:numPr>
          <w:ilvl w:val="1"/>
          <w:numId w:val="40"/>
        </w:numPr>
        <w:wordWrap w:val="0"/>
        <w:topLinePunct/>
        <w:ind w:firstLine="480" w:firstLineChars="200"/>
        <w:rPr>
          <w:color w:val="auto"/>
          <w:highlight w:val="none"/>
        </w:rPr>
      </w:pPr>
      <w:r>
        <w:rPr>
          <w:rFonts w:hint="eastAsia"/>
          <w:color w:val="auto"/>
          <w:highlight w:val="none"/>
        </w:rPr>
        <w:t>服从评标现场招标采购单位的现场秩序管理，接受评标现场监督人员的合法监督；</w:t>
      </w:r>
    </w:p>
    <w:p>
      <w:pPr>
        <w:numPr>
          <w:ilvl w:val="1"/>
          <w:numId w:val="40"/>
        </w:numPr>
        <w:wordWrap w:val="0"/>
        <w:topLinePunct/>
        <w:ind w:firstLine="480" w:firstLineChars="200"/>
        <w:rPr>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numPr>
          <w:ilvl w:val="1"/>
          <w:numId w:val="40"/>
        </w:numPr>
        <w:wordWrap w:val="0"/>
        <w:topLinePunct/>
        <w:ind w:firstLine="480" w:firstLineChars="200"/>
        <w:rPr>
          <w:color w:val="auto"/>
          <w:highlight w:val="none"/>
        </w:rPr>
      </w:pPr>
      <w:r>
        <w:rPr>
          <w:rFonts w:hint="eastAsia"/>
          <w:color w:val="auto"/>
          <w:highlight w:val="none"/>
        </w:rPr>
        <w:t>有关部门(机构)制定的其他评审工作纪律。</w:t>
      </w:r>
    </w:p>
    <w:p>
      <w:pPr>
        <w:numPr>
          <w:ilvl w:val="1"/>
          <w:numId w:val="31"/>
        </w:numPr>
        <w:wordWrap w:val="0"/>
        <w:topLinePunct/>
        <w:ind w:firstLine="482" w:firstLineChars="200"/>
        <w:outlineLvl w:val="1"/>
        <w:rPr>
          <w:b/>
          <w:color w:val="auto"/>
          <w:highlight w:val="none"/>
        </w:rPr>
      </w:pPr>
      <w:bookmarkStart w:id="1256" w:name="_Toc30239"/>
      <w:bookmarkStart w:id="1257" w:name="_Toc7665"/>
      <w:bookmarkStart w:id="1258" w:name="_Toc15766"/>
      <w:bookmarkStart w:id="1259" w:name="_Toc26220"/>
      <w:bookmarkStart w:id="1260" w:name="_Toc8256"/>
      <w:bookmarkStart w:id="1261" w:name="_Toc16204"/>
      <w:r>
        <w:rPr>
          <w:rFonts w:hint="eastAsia"/>
          <w:b/>
          <w:color w:val="auto"/>
          <w:highlight w:val="none"/>
        </w:rPr>
        <w:t>评标委员会及其成员不得有下列行为</w:t>
      </w:r>
      <w:bookmarkEnd w:id="1256"/>
      <w:bookmarkEnd w:id="1257"/>
      <w:bookmarkEnd w:id="1258"/>
      <w:bookmarkEnd w:id="1259"/>
      <w:bookmarkEnd w:id="1260"/>
      <w:bookmarkEnd w:id="1261"/>
    </w:p>
    <w:p>
      <w:pPr>
        <w:numPr>
          <w:ilvl w:val="1"/>
          <w:numId w:val="41"/>
        </w:numPr>
        <w:wordWrap w:val="0"/>
        <w:topLinePunct/>
        <w:ind w:firstLine="480" w:firstLineChars="200"/>
        <w:rPr>
          <w:color w:val="auto"/>
          <w:highlight w:val="none"/>
        </w:rPr>
      </w:pPr>
      <w:r>
        <w:rPr>
          <w:rFonts w:hint="eastAsia"/>
          <w:color w:val="auto"/>
          <w:highlight w:val="none"/>
        </w:rPr>
        <w:t>确定参与评标至评标结束前私自接触投标人；</w:t>
      </w:r>
    </w:p>
    <w:p>
      <w:pPr>
        <w:numPr>
          <w:ilvl w:val="1"/>
          <w:numId w:val="41"/>
        </w:numPr>
        <w:wordWrap w:val="0"/>
        <w:topLinePunct/>
        <w:ind w:firstLine="480" w:firstLineChars="200"/>
        <w:rPr>
          <w:color w:val="auto"/>
          <w:highlight w:val="none"/>
        </w:rPr>
      </w:pPr>
      <w:r>
        <w:rPr>
          <w:rFonts w:hint="eastAsia"/>
          <w:color w:val="auto"/>
          <w:highlight w:val="none"/>
        </w:rPr>
        <w:t>接受投标人提出的与投标文件不一致的澄清或者说明，《政府采购货物和服务招标投标管理办法》(财政部令第87号)第五十一条规定的情形除外；</w:t>
      </w:r>
    </w:p>
    <w:p>
      <w:pPr>
        <w:numPr>
          <w:ilvl w:val="1"/>
          <w:numId w:val="41"/>
        </w:numPr>
        <w:wordWrap w:val="0"/>
        <w:topLinePunct/>
        <w:ind w:firstLine="480" w:firstLineChars="200"/>
        <w:rPr>
          <w:color w:val="auto"/>
          <w:highlight w:val="none"/>
        </w:rPr>
      </w:pPr>
      <w:r>
        <w:rPr>
          <w:rFonts w:hint="eastAsia"/>
          <w:color w:val="auto"/>
          <w:highlight w:val="none"/>
        </w:rPr>
        <w:t>违反评标纪律发表倾向性意见或者征询采购人的倾向性意见；</w:t>
      </w:r>
    </w:p>
    <w:p>
      <w:pPr>
        <w:numPr>
          <w:ilvl w:val="1"/>
          <w:numId w:val="41"/>
        </w:numPr>
        <w:wordWrap w:val="0"/>
        <w:topLinePunct/>
        <w:ind w:firstLine="480" w:firstLineChars="200"/>
        <w:rPr>
          <w:color w:val="auto"/>
          <w:highlight w:val="none"/>
        </w:rPr>
      </w:pPr>
      <w:r>
        <w:rPr>
          <w:rFonts w:hint="eastAsia"/>
          <w:color w:val="auto"/>
          <w:highlight w:val="none"/>
        </w:rPr>
        <w:t>对需要专业判断的主观评审因素协商评分；</w:t>
      </w:r>
    </w:p>
    <w:p>
      <w:pPr>
        <w:numPr>
          <w:ilvl w:val="1"/>
          <w:numId w:val="41"/>
        </w:numPr>
        <w:wordWrap w:val="0"/>
        <w:topLinePunct/>
        <w:ind w:firstLine="480" w:firstLineChars="200"/>
        <w:rPr>
          <w:color w:val="auto"/>
          <w:highlight w:val="none"/>
        </w:rPr>
      </w:pPr>
      <w:r>
        <w:rPr>
          <w:rFonts w:hint="eastAsia"/>
          <w:color w:val="auto"/>
          <w:highlight w:val="none"/>
        </w:rPr>
        <w:t>在评标过程中擅离职守，影响评标程序正常进行的；</w:t>
      </w:r>
    </w:p>
    <w:p>
      <w:pPr>
        <w:numPr>
          <w:ilvl w:val="1"/>
          <w:numId w:val="41"/>
        </w:numPr>
        <w:wordWrap w:val="0"/>
        <w:topLinePunct/>
        <w:ind w:firstLine="480" w:firstLineChars="200"/>
        <w:rPr>
          <w:color w:val="auto"/>
          <w:highlight w:val="none"/>
        </w:rPr>
      </w:pPr>
      <w:r>
        <w:rPr>
          <w:rFonts w:hint="eastAsia"/>
          <w:color w:val="auto"/>
          <w:highlight w:val="none"/>
        </w:rPr>
        <w:t>记录、复制或者带走任何评标资料；</w:t>
      </w:r>
    </w:p>
    <w:p>
      <w:pPr>
        <w:numPr>
          <w:ilvl w:val="1"/>
          <w:numId w:val="41"/>
        </w:numPr>
        <w:wordWrap w:val="0"/>
        <w:topLinePunct/>
        <w:ind w:firstLine="480" w:firstLineChars="200"/>
        <w:rPr>
          <w:color w:val="auto"/>
          <w:highlight w:val="none"/>
        </w:rPr>
      </w:pPr>
      <w:r>
        <w:rPr>
          <w:rFonts w:hint="eastAsia"/>
          <w:color w:val="auto"/>
          <w:highlight w:val="none"/>
        </w:rPr>
        <w:t>其他不遵守评标纪律的行为。</w:t>
      </w:r>
    </w:p>
    <w:p>
      <w:pPr>
        <w:pStyle w:val="35"/>
        <w:rPr>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numPr>
          <w:ilvl w:val="1"/>
          <w:numId w:val="31"/>
        </w:numPr>
        <w:wordWrap w:val="0"/>
        <w:topLinePunct/>
        <w:ind w:firstLine="482" w:firstLineChars="200"/>
        <w:outlineLvl w:val="1"/>
        <w:rPr>
          <w:b/>
          <w:color w:val="auto"/>
          <w:highlight w:val="none"/>
        </w:rPr>
      </w:pPr>
      <w:bookmarkStart w:id="1262" w:name="_Toc16638"/>
      <w:bookmarkStart w:id="1263" w:name="_Toc13225"/>
      <w:bookmarkStart w:id="1264" w:name="_Toc19468"/>
      <w:bookmarkStart w:id="1265" w:name="_Toc19840"/>
      <w:r>
        <w:rPr>
          <w:rFonts w:hint="eastAsia"/>
          <w:b/>
          <w:color w:val="auto"/>
          <w:highlight w:val="none"/>
        </w:rPr>
        <w:t>评标委员会及其成员不得有下列违约情形</w:t>
      </w:r>
      <w:bookmarkEnd w:id="1262"/>
      <w:bookmarkEnd w:id="1263"/>
      <w:bookmarkEnd w:id="1264"/>
      <w:bookmarkEnd w:id="1265"/>
    </w:p>
    <w:p>
      <w:pPr>
        <w:numPr>
          <w:ilvl w:val="1"/>
          <w:numId w:val="42"/>
        </w:numPr>
        <w:wordWrap w:val="0"/>
        <w:topLinePunct/>
        <w:ind w:firstLine="480" w:firstLineChars="200"/>
        <w:rPr>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numPr>
          <w:ilvl w:val="1"/>
          <w:numId w:val="42"/>
        </w:numPr>
        <w:wordWrap w:val="0"/>
        <w:topLinePunct/>
        <w:ind w:firstLine="480" w:firstLineChars="200"/>
        <w:rPr>
          <w:color w:val="auto"/>
          <w:highlight w:val="none"/>
        </w:rPr>
      </w:pPr>
      <w:r>
        <w:rPr>
          <w:rFonts w:hint="eastAsia"/>
          <w:color w:val="auto"/>
          <w:highlight w:val="none"/>
        </w:rPr>
        <w:t>不遵守评审现场工作纪律的；</w:t>
      </w:r>
    </w:p>
    <w:p>
      <w:pPr>
        <w:numPr>
          <w:ilvl w:val="1"/>
          <w:numId w:val="42"/>
        </w:numPr>
        <w:wordWrap w:val="0"/>
        <w:topLinePunct/>
        <w:ind w:firstLine="480" w:firstLineChars="200"/>
        <w:rPr>
          <w:color w:val="auto"/>
          <w:highlight w:val="none"/>
        </w:rPr>
      </w:pPr>
      <w:r>
        <w:rPr>
          <w:rFonts w:hint="eastAsia"/>
          <w:color w:val="auto"/>
          <w:highlight w:val="none"/>
        </w:rPr>
        <w:t>明显故意拖延评审时间的；</w:t>
      </w:r>
    </w:p>
    <w:p>
      <w:pPr>
        <w:numPr>
          <w:ilvl w:val="1"/>
          <w:numId w:val="42"/>
        </w:numPr>
        <w:wordWrap w:val="0"/>
        <w:topLinePunct/>
        <w:ind w:firstLine="480" w:firstLineChars="200"/>
        <w:rPr>
          <w:color w:val="auto"/>
          <w:highlight w:val="none"/>
        </w:rPr>
      </w:pPr>
      <w:r>
        <w:rPr>
          <w:rFonts w:hint="eastAsia"/>
          <w:color w:val="auto"/>
          <w:highlight w:val="none"/>
        </w:rPr>
        <w:t>抄袭其他评审委员会成员的评审意见的；</w:t>
      </w:r>
    </w:p>
    <w:p>
      <w:pPr>
        <w:numPr>
          <w:ilvl w:val="1"/>
          <w:numId w:val="42"/>
        </w:numPr>
        <w:wordWrap w:val="0"/>
        <w:topLinePunct/>
        <w:ind w:firstLine="480" w:firstLineChars="200"/>
        <w:rPr>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numPr>
          <w:ilvl w:val="1"/>
          <w:numId w:val="42"/>
        </w:numPr>
        <w:wordWrap w:val="0"/>
        <w:topLinePunct/>
        <w:ind w:firstLine="480" w:firstLineChars="200"/>
        <w:rPr>
          <w:color w:val="auto"/>
          <w:highlight w:val="none"/>
        </w:rPr>
      </w:pPr>
      <w:r>
        <w:rPr>
          <w:rFonts w:hint="eastAsia"/>
          <w:color w:val="auto"/>
          <w:highlight w:val="none"/>
        </w:rPr>
        <w:t>索取高于规定的劳务报酬，或者要求先给付报酬再进行评审，或者因劳务报酬低而拒绝评审、拒绝签署评审报告的；</w:t>
      </w:r>
    </w:p>
    <w:p>
      <w:pPr>
        <w:numPr>
          <w:ilvl w:val="1"/>
          <w:numId w:val="42"/>
        </w:numPr>
        <w:wordWrap w:val="0"/>
        <w:topLinePunct/>
        <w:ind w:firstLine="480" w:firstLineChars="200"/>
        <w:rPr>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numPr>
          <w:ilvl w:val="1"/>
          <w:numId w:val="42"/>
        </w:numPr>
        <w:wordWrap w:val="0"/>
        <w:topLinePunct/>
        <w:ind w:firstLine="480" w:firstLineChars="200"/>
        <w:rPr>
          <w:color w:val="auto"/>
          <w:highlight w:val="none"/>
        </w:rPr>
      </w:pPr>
      <w:r>
        <w:rPr>
          <w:rFonts w:hint="eastAsia"/>
          <w:color w:val="auto"/>
          <w:highlight w:val="none"/>
        </w:rPr>
        <w:t>存在其他违反政府采购法规制度，但不构成行政处罚行为的。</w:t>
      </w:r>
    </w:p>
    <w:p>
      <w:pPr>
        <w:pStyle w:val="31"/>
        <w:rPr>
          <w:color w:val="auto"/>
          <w:highlight w:val="none"/>
        </w:rPr>
      </w:pPr>
    </w:p>
    <w:p>
      <w:pPr>
        <w:pStyle w:val="30"/>
        <w:numPr>
          <w:ilvl w:val="0"/>
          <w:numId w:val="11"/>
        </w:numPr>
        <w:spacing w:before="120" w:after="120"/>
        <w:rPr>
          <w:color w:val="auto"/>
          <w:highlight w:val="none"/>
        </w:rPr>
      </w:pPr>
      <w:r>
        <w:rPr>
          <w:rFonts w:hint="eastAsia"/>
          <w:color w:val="auto"/>
          <w:highlight w:val="none"/>
        </w:rPr>
        <w:br w:type="page"/>
      </w:r>
      <w:bookmarkEnd w:id="1180"/>
      <w:bookmarkStart w:id="1266" w:name="_Toc18908"/>
      <w:bookmarkStart w:id="1267" w:name="_Toc25153"/>
      <w:bookmarkStart w:id="1268" w:name="_Toc13264"/>
      <w:bookmarkStart w:id="1269" w:name="_Toc7547"/>
      <w:bookmarkStart w:id="1270" w:name="_Toc229"/>
      <w:r>
        <w:rPr>
          <w:rFonts w:hint="eastAsia"/>
          <w:color w:val="auto"/>
          <w:highlight w:val="none"/>
        </w:rPr>
        <w:t>政府采购合同</w:t>
      </w:r>
      <w:bookmarkEnd w:id="1266"/>
      <w:bookmarkEnd w:id="1267"/>
      <w:bookmarkEnd w:id="1268"/>
      <w:bookmarkEnd w:id="1269"/>
      <w:bookmarkEnd w:id="1270"/>
    </w:p>
    <w:p>
      <w:pPr>
        <w:pStyle w:val="31"/>
        <w:rPr>
          <w:color w:val="auto"/>
          <w:highlight w:val="none"/>
        </w:rPr>
      </w:pPr>
    </w:p>
    <w:p>
      <w:pPr>
        <w:spacing w:line="360" w:lineRule="auto"/>
        <w:jc w:val="center"/>
        <w:rPr>
          <w:rFonts w:cs="宋体"/>
          <w:b/>
          <w:bCs/>
          <w:color w:val="auto"/>
          <w:sz w:val="32"/>
          <w:szCs w:val="44"/>
          <w:highlight w:val="none"/>
        </w:rPr>
      </w:pPr>
      <w:r>
        <w:rPr>
          <w:rFonts w:hint="eastAsia" w:cs="宋体"/>
          <w:b/>
          <w:bCs/>
          <w:color w:val="auto"/>
          <w:sz w:val="32"/>
          <w:szCs w:val="44"/>
          <w:highlight w:val="none"/>
        </w:rPr>
        <w:t>成都市技师学院人才联合培养实训室采购项目合同文本主要条款</w:t>
      </w:r>
    </w:p>
    <w:p>
      <w:pPr>
        <w:ind w:firstLine="482" w:firstLineChars="200"/>
        <w:rPr>
          <w:rFonts w:cs="宋体"/>
          <w:b/>
          <w:bCs/>
          <w:color w:val="auto"/>
          <w:highlight w:val="none"/>
        </w:rPr>
      </w:pPr>
    </w:p>
    <w:p>
      <w:pPr>
        <w:wordWrap w:val="0"/>
        <w:topLinePunct/>
        <w:ind w:firstLine="480" w:firstLineChars="200"/>
        <w:jc w:val="both"/>
        <w:rPr>
          <w:rFonts w:cs="宋体"/>
          <w:color w:val="auto"/>
          <w:highlight w:val="none"/>
        </w:rPr>
      </w:pPr>
      <w:r>
        <w:rPr>
          <w:rFonts w:hint="eastAsia" w:cs="宋体"/>
          <w:color w:val="auto"/>
          <w:highlight w:val="none"/>
        </w:rPr>
        <w:t>合同编号：</w:t>
      </w:r>
    </w:p>
    <w:p>
      <w:pPr>
        <w:ind w:firstLine="480" w:firstLineChars="200"/>
        <w:jc w:val="both"/>
        <w:rPr>
          <w:rFonts w:cs="宋体"/>
          <w:color w:val="auto"/>
          <w:highlight w:val="none"/>
        </w:rPr>
      </w:pPr>
      <w:r>
        <w:rPr>
          <w:rFonts w:hint="eastAsia" w:cs="宋体"/>
          <w:color w:val="auto"/>
          <w:highlight w:val="none"/>
        </w:rPr>
        <w:t xml:space="preserve">计划号/备案号：                </w:t>
      </w:r>
    </w:p>
    <w:p>
      <w:pPr>
        <w:ind w:firstLine="480" w:firstLineChars="200"/>
        <w:jc w:val="both"/>
        <w:rPr>
          <w:rFonts w:cs="宋体"/>
          <w:color w:val="auto"/>
          <w:highlight w:val="none"/>
        </w:rPr>
      </w:pPr>
      <w:r>
        <w:rPr>
          <w:rFonts w:hint="eastAsia" w:cs="宋体"/>
          <w:color w:val="auto"/>
          <w:highlight w:val="none"/>
        </w:rPr>
        <w:t>签订地点：成都市郫都区红光街道蒋桥路88号</w:t>
      </w:r>
    </w:p>
    <w:p>
      <w:pPr>
        <w:wordWrap w:val="0"/>
        <w:topLinePunct/>
        <w:ind w:firstLine="480" w:firstLineChars="200"/>
        <w:jc w:val="both"/>
        <w:rPr>
          <w:rFonts w:cs="宋体"/>
          <w:color w:val="auto"/>
          <w:highlight w:val="none"/>
        </w:rPr>
      </w:pPr>
      <w:r>
        <w:rPr>
          <w:rFonts w:hint="eastAsia" w:cs="宋体"/>
          <w:color w:val="auto"/>
          <w:highlight w:val="none"/>
        </w:rPr>
        <w:t>签订时间：</w:t>
      </w:r>
    </w:p>
    <w:p>
      <w:pPr>
        <w:wordWrap w:val="0"/>
        <w:topLinePunct/>
        <w:ind w:firstLine="480" w:firstLineChars="200"/>
        <w:jc w:val="both"/>
        <w:rPr>
          <w:rFonts w:cs="宋体"/>
          <w:color w:val="auto"/>
          <w:highlight w:val="none"/>
        </w:rPr>
      </w:pPr>
      <w:r>
        <w:rPr>
          <w:rFonts w:hint="eastAsia" w:cs="宋体"/>
          <w:color w:val="auto"/>
          <w:highlight w:val="none"/>
        </w:rPr>
        <w:t>甲方(采供人)：成都市技师学院</w:t>
      </w:r>
    </w:p>
    <w:p>
      <w:pPr>
        <w:wordWrap w:val="0"/>
        <w:topLinePunct/>
        <w:ind w:firstLine="480" w:firstLineChars="200"/>
        <w:jc w:val="both"/>
        <w:rPr>
          <w:rFonts w:cs="宋体"/>
          <w:color w:val="auto"/>
          <w:highlight w:val="none"/>
        </w:rPr>
      </w:pPr>
      <w:r>
        <w:rPr>
          <w:rFonts w:hint="eastAsia" w:cs="宋体"/>
          <w:color w:val="auto"/>
          <w:highlight w:val="none"/>
        </w:rPr>
        <w:t xml:space="preserve">乙方(供应商)：    </w:t>
      </w:r>
    </w:p>
    <w:p>
      <w:pPr>
        <w:ind w:firstLine="480" w:firstLineChars="200"/>
        <w:rPr>
          <w:rFonts w:cs="宋体"/>
          <w:color w:val="auto"/>
          <w:highlight w:val="none"/>
        </w:rPr>
      </w:pPr>
      <w:bookmarkStart w:id="1271" w:name="_Toc3039"/>
      <w:bookmarkStart w:id="1272" w:name="_Toc31384"/>
      <w:r>
        <w:rPr>
          <w:rFonts w:hint="eastAsia" w:cs="宋体"/>
          <w:color w:val="auto"/>
          <w:highlight w:val="none"/>
        </w:rPr>
        <w:t>合同类型：买卖合同</w:t>
      </w:r>
    </w:p>
    <w:p>
      <w:pPr>
        <w:ind w:firstLine="480" w:firstLineChars="200"/>
        <w:rPr>
          <w:rFonts w:cs="宋体"/>
          <w:color w:val="auto"/>
          <w:highlight w:val="none"/>
        </w:rPr>
      </w:pPr>
    </w:p>
    <w:p>
      <w:pPr>
        <w:ind w:firstLine="480" w:firstLineChars="200"/>
        <w:rPr>
          <w:rFonts w:cs="宋体"/>
          <w:color w:val="auto"/>
          <w:highlight w:val="none"/>
        </w:rPr>
      </w:pPr>
      <w:r>
        <w:rPr>
          <w:rFonts w:hint="eastAsia" w:cs="宋体"/>
          <w:color w:val="auto"/>
          <w:highlight w:val="none"/>
        </w:rPr>
        <w:t>根据《中华人民共和国政府采购法》《中华人民共和国民法典》等国家和地方政府部门有关法律法规及成都市技师学院人才联合培养实训室采购项目(项目编号：XXXXXX)的《招标文件》、乙方的《投标文件》及《中标通知书》甲、乙双方同意签订本合同，共同遵守如下条款：</w:t>
      </w:r>
    </w:p>
    <w:p>
      <w:pPr>
        <w:ind w:firstLine="482" w:firstLineChars="200"/>
        <w:rPr>
          <w:rFonts w:cs="宋体"/>
          <w:b/>
          <w:bCs/>
          <w:color w:val="auto"/>
          <w:highlight w:val="none"/>
        </w:rPr>
      </w:pPr>
      <w:bookmarkStart w:id="1273" w:name="_Toc28089"/>
      <w:r>
        <w:rPr>
          <w:rFonts w:hint="eastAsia" w:cs="宋体"/>
          <w:b/>
          <w:bCs/>
          <w:color w:val="auto"/>
          <w:highlight w:val="none"/>
        </w:rPr>
        <w:t>一、项目基本情况</w:t>
      </w:r>
      <w:bookmarkEnd w:id="1273"/>
    </w:p>
    <w:p>
      <w:pPr>
        <w:ind w:firstLine="480" w:firstLineChars="200"/>
        <w:rPr>
          <w:rFonts w:cs="宋体"/>
          <w:color w:val="auto"/>
          <w:highlight w:val="none"/>
        </w:rPr>
      </w:pPr>
      <w:r>
        <w:rPr>
          <w:rFonts w:hint="eastAsia" w:cs="宋体"/>
          <w:color w:val="auto"/>
          <w:highlight w:val="none"/>
        </w:rPr>
        <w:t>该项目主要为成都市技师学院人才联合培养实训室建设项目。引入企业新技术、新工艺、新标准，采购新能源汽车专业相关实习实训车辆、专用设备，新建新能源汽检测与维修实训室，打造高水平实训基地。</w:t>
      </w:r>
    </w:p>
    <w:p>
      <w:pPr>
        <w:ind w:firstLine="482" w:firstLineChars="200"/>
        <w:rPr>
          <w:rFonts w:cs="宋体"/>
          <w:b/>
          <w:bCs/>
          <w:color w:val="auto"/>
          <w:highlight w:val="none"/>
        </w:rPr>
      </w:pPr>
      <w:r>
        <w:rPr>
          <w:rFonts w:hint="eastAsia" w:cs="宋体"/>
          <w:b/>
          <w:bCs/>
          <w:color w:val="auto"/>
          <w:highlight w:val="none"/>
        </w:rPr>
        <w:t>二、合同标的</w:t>
      </w:r>
    </w:p>
    <w:p>
      <w:pPr>
        <w:ind w:firstLine="480" w:firstLineChars="200"/>
        <w:rPr>
          <w:rFonts w:cs="宋体"/>
          <w:color w:val="auto"/>
          <w:highlight w:val="none"/>
        </w:rPr>
      </w:pPr>
      <w:r>
        <w:rPr>
          <w:rFonts w:hint="eastAsia" w:cs="宋体"/>
          <w:color w:val="auto"/>
          <w:highlight w:val="none"/>
        </w:rPr>
        <w:t>1.合同标的明细</w:t>
      </w:r>
    </w:p>
    <w:tbl>
      <w:tblPr>
        <w:tblStyle w:val="23"/>
        <w:tblW w:w="90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71"/>
        <w:gridCol w:w="1418"/>
        <w:gridCol w:w="1417"/>
        <w:gridCol w:w="709"/>
        <w:gridCol w:w="863"/>
        <w:gridCol w:w="1172"/>
        <w:gridCol w:w="1286"/>
        <w:gridCol w:w="9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bookmarkStart w:id="1274" w:name="_Toc26626"/>
            <w:r>
              <w:rPr>
                <w:rFonts w:hint="eastAsia" w:cs="宋体"/>
                <w:b/>
                <w:color w:val="auto"/>
                <w:sz w:val="21"/>
                <w:szCs w:val="21"/>
                <w:highlight w:val="none"/>
              </w:rPr>
              <w:t>货物名称</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制造商或品牌</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规格型号</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单位</w:t>
            </w:r>
          </w:p>
        </w:tc>
        <w:tc>
          <w:tcPr>
            <w:tcW w:w="86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数量</w:t>
            </w:r>
          </w:p>
        </w:tc>
        <w:tc>
          <w:tcPr>
            <w:tcW w:w="117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单价(元)</w:t>
            </w:r>
          </w:p>
        </w:tc>
        <w:tc>
          <w:tcPr>
            <w:tcW w:w="12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总价(元)</w:t>
            </w:r>
          </w:p>
        </w:tc>
        <w:tc>
          <w:tcPr>
            <w:tcW w:w="9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cs="宋体"/>
                <w:b/>
                <w:color w:val="auto"/>
                <w:sz w:val="21"/>
                <w:szCs w:val="21"/>
                <w:highlight w:val="none"/>
              </w:rPr>
            </w:pPr>
            <w:r>
              <w:rPr>
                <w:rFonts w:hint="eastAsia" w:cs="宋体"/>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908" w:type="dxa"/>
            <w:tcBorders>
              <w:top w:val="single" w:color="auto" w:sz="4" w:space="0"/>
              <w:left w:val="single" w:color="auto" w:sz="4" w:space="0"/>
              <w:bottom w:val="single" w:color="auto" w:sz="4" w:space="0"/>
              <w:right w:val="single" w:color="auto" w:sz="4" w:space="0"/>
            </w:tcBorders>
            <w:vAlign w:val="center"/>
          </w:tcPr>
          <w:p>
            <w:pPr>
              <w:outlineLvl w:val="1"/>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3"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863"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pPr>
              <w:rPr>
                <w:rFonts w:cs="宋体"/>
                <w:color w:val="auto"/>
                <w:sz w:val="21"/>
                <w:szCs w:val="21"/>
                <w:highlight w:val="none"/>
              </w:rPr>
            </w:pPr>
          </w:p>
        </w:tc>
        <w:tc>
          <w:tcPr>
            <w:tcW w:w="908" w:type="dxa"/>
            <w:tcBorders>
              <w:top w:val="single" w:color="auto" w:sz="4" w:space="0"/>
              <w:left w:val="single" w:color="auto" w:sz="4" w:space="0"/>
              <w:bottom w:val="single" w:color="auto" w:sz="4" w:space="0"/>
              <w:right w:val="single" w:color="auto" w:sz="4" w:space="0"/>
            </w:tcBorders>
            <w:vAlign w:val="center"/>
          </w:tcPr>
          <w:p>
            <w:pPr>
              <w:outlineLvl w:val="1"/>
              <w:rPr>
                <w:rFonts w:cs="宋体"/>
                <w:color w:val="auto"/>
                <w:sz w:val="21"/>
                <w:szCs w:val="21"/>
                <w:highlight w:val="none"/>
              </w:rPr>
            </w:pPr>
          </w:p>
        </w:tc>
      </w:tr>
    </w:tbl>
    <w:p>
      <w:pPr>
        <w:ind w:firstLine="480" w:firstLineChars="200"/>
        <w:jc w:val="both"/>
        <w:rPr>
          <w:rFonts w:cs="宋体"/>
          <w:color w:val="auto"/>
          <w:highlight w:val="none"/>
        </w:rPr>
      </w:pPr>
      <w:r>
        <w:rPr>
          <w:rFonts w:hint="eastAsia" w:cs="宋体"/>
          <w:color w:val="auto"/>
          <w:highlight w:val="none"/>
        </w:rPr>
        <w:t>2.合同标的技术参数明细</w:t>
      </w:r>
    </w:p>
    <w:p>
      <w:pPr>
        <w:ind w:firstLine="480" w:firstLineChars="200"/>
        <w:jc w:val="both"/>
        <w:rPr>
          <w:rFonts w:cs="宋体"/>
          <w:color w:val="auto"/>
          <w:highlight w:val="none"/>
        </w:rPr>
      </w:pPr>
      <w:r>
        <w:rPr>
          <w:rFonts w:hint="eastAsia" w:cs="宋体"/>
          <w:color w:val="auto"/>
          <w:highlight w:val="none"/>
        </w:rPr>
        <w:t>XXXX。</w:t>
      </w:r>
    </w:p>
    <w:p>
      <w:pPr>
        <w:ind w:firstLine="482" w:firstLineChars="200"/>
        <w:jc w:val="both"/>
        <w:rPr>
          <w:rFonts w:cs="宋体"/>
          <w:b/>
          <w:bCs/>
          <w:color w:val="auto"/>
          <w:highlight w:val="none"/>
        </w:rPr>
      </w:pPr>
      <w:r>
        <w:rPr>
          <w:rFonts w:hint="eastAsia" w:cs="宋体"/>
          <w:b/>
          <w:bCs/>
          <w:color w:val="auto"/>
          <w:highlight w:val="none"/>
        </w:rPr>
        <w:t>三、履约时间和方式</w:t>
      </w:r>
    </w:p>
    <w:p>
      <w:pPr>
        <w:ind w:firstLine="480" w:firstLineChars="200"/>
        <w:jc w:val="both"/>
        <w:rPr>
          <w:rFonts w:cs="宋体"/>
          <w:color w:val="auto"/>
          <w:highlight w:val="none"/>
        </w:rPr>
      </w:pPr>
      <w:r>
        <w:rPr>
          <w:rFonts w:hint="eastAsia" w:cs="宋体"/>
          <w:color w:val="auto"/>
          <w:highlight w:val="none"/>
        </w:rPr>
        <w:t>1.供货时间及方式：合同签订之日起30日历天内(含法定节假日),在甲方指定交货地点完成所有设备的送货、安装、调试工作。</w:t>
      </w:r>
    </w:p>
    <w:p>
      <w:pPr>
        <w:ind w:firstLine="480" w:firstLineChars="200"/>
        <w:jc w:val="both"/>
        <w:rPr>
          <w:rFonts w:cs="宋体"/>
          <w:color w:val="auto"/>
          <w:highlight w:val="none"/>
        </w:rPr>
      </w:pPr>
      <w:r>
        <w:rPr>
          <w:rFonts w:hint="eastAsia" w:cs="宋体"/>
          <w:color w:val="auto"/>
          <w:highlight w:val="none"/>
        </w:rPr>
        <w:t>2.售后服务时间：乙方提供一年的售后服务，售后服务期的起始日期为甲方现场设备验收合格之日起开始计算。</w:t>
      </w:r>
    </w:p>
    <w:bookmarkEnd w:id="1274"/>
    <w:p>
      <w:pPr>
        <w:ind w:firstLine="482" w:firstLineChars="200"/>
        <w:rPr>
          <w:rFonts w:cs="宋体"/>
          <w:color w:val="auto"/>
          <w:highlight w:val="none"/>
        </w:rPr>
      </w:pPr>
      <w:r>
        <w:rPr>
          <w:rFonts w:hint="eastAsia" w:cs="宋体"/>
          <w:b/>
          <w:bCs/>
          <w:color w:val="auto"/>
          <w:highlight w:val="none"/>
        </w:rPr>
        <w:t>四、履约地点：</w:t>
      </w:r>
      <w:r>
        <w:rPr>
          <w:rFonts w:hint="eastAsia" w:cs="宋体"/>
          <w:color w:val="auto"/>
          <w:highlight w:val="none"/>
        </w:rPr>
        <w:t>成都市郫都区红光街道蒋桥路88号</w:t>
      </w:r>
    </w:p>
    <w:p>
      <w:pPr>
        <w:ind w:firstLine="482" w:firstLineChars="200"/>
        <w:jc w:val="both"/>
        <w:rPr>
          <w:rFonts w:cs="宋体"/>
          <w:b/>
          <w:bCs/>
          <w:color w:val="auto"/>
          <w:highlight w:val="none"/>
        </w:rPr>
      </w:pPr>
      <w:r>
        <w:rPr>
          <w:rFonts w:hint="eastAsia" w:cs="宋体"/>
          <w:b/>
          <w:bCs/>
          <w:color w:val="auto"/>
          <w:highlight w:val="none"/>
        </w:rPr>
        <w:t>五、合同总价、付款安排、支付方式</w:t>
      </w:r>
    </w:p>
    <w:p>
      <w:pPr>
        <w:ind w:firstLine="480" w:firstLineChars="200"/>
        <w:jc w:val="both"/>
        <w:rPr>
          <w:rFonts w:cs="宋体"/>
          <w:color w:val="auto"/>
          <w:highlight w:val="none"/>
        </w:rPr>
      </w:pPr>
      <w:r>
        <w:rPr>
          <w:rFonts w:hint="eastAsia" w:cs="宋体"/>
          <w:color w:val="auto"/>
          <w:highlight w:val="none"/>
        </w:rPr>
        <w:t>1.合同总价：合同总价为人民币大写：</w:t>
      </w:r>
      <w:r>
        <w:rPr>
          <w:rFonts w:hint="eastAsia" w:cs="宋体"/>
          <w:color w:val="auto"/>
          <w:highlight w:val="none"/>
          <w:u w:val="single"/>
        </w:rPr>
        <w:t xml:space="preserve">          </w:t>
      </w:r>
      <w:r>
        <w:rPr>
          <w:rFonts w:hint="eastAsia" w:cs="宋体"/>
          <w:color w:val="auto"/>
          <w:highlight w:val="none"/>
        </w:rPr>
        <w:t>元，即￥</w:t>
      </w:r>
      <w:r>
        <w:rPr>
          <w:rFonts w:hint="eastAsia" w:cs="宋体"/>
          <w:color w:val="auto"/>
          <w:highlight w:val="none"/>
          <w:u w:val="single"/>
        </w:rPr>
        <w:t xml:space="preserve">                        </w:t>
      </w:r>
      <w:r>
        <w:rPr>
          <w:rFonts w:hint="eastAsia" w:cs="宋体"/>
          <w:color w:val="auto"/>
          <w:highlight w:val="none"/>
        </w:rPr>
        <w:t>元整；合同价为固定包干价格，包括但不限于设备的供货、包装、运输、安装、调试、培训、保险、售后服务、税费等与完成本项目有关的所有费用。本项目的合同执行期间合同总价不变，采购人无须另向投标人支付本合同规定之外的其他任何费用。</w:t>
      </w:r>
    </w:p>
    <w:p>
      <w:pPr>
        <w:ind w:firstLine="480" w:firstLineChars="200"/>
        <w:jc w:val="both"/>
        <w:rPr>
          <w:rFonts w:cs="宋体"/>
          <w:color w:val="auto"/>
          <w:highlight w:val="none"/>
        </w:rPr>
      </w:pPr>
      <w:r>
        <w:rPr>
          <w:rFonts w:hint="eastAsia" w:cs="宋体"/>
          <w:color w:val="auto"/>
          <w:highlight w:val="none"/>
        </w:rPr>
        <w:t>2.合同支付方式为一次性银行转账支付。乙方将货物运输到采购人指定地点，安装、调试完毕且货物经采购人验收合格后，甲方自收到投标人提供的符合甲方财务要求且合法有效完整的等额完税发票之日起30个日历天内支付合同总金额的百分之百的合同款；若收到乙方发票之日早于货物验收合格之日，则自货物验收合格之日起30个日历天内支付。</w:t>
      </w:r>
    </w:p>
    <w:p>
      <w:pPr>
        <w:ind w:firstLine="480" w:firstLineChars="200"/>
        <w:jc w:val="both"/>
        <w:rPr>
          <w:rFonts w:cs="宋体"/>
          <w:color w:val="auto"/>
          <w:highlight w:val="none"/>
        </w:rPr>
      </w:pPr>
      <w:r>
        <w:rPr>
          <w:rFonts w:hint="eastAsia" w:cs="宋体"/>
          <w:color w:val="auto"/>
          <w:highlight w:val="none"/>
        </w:rPr>
        <w:t>3.乙方未提供增值税普通发票，或发票经国税网验审不合格的，或者乙方提供的发票不满足甲方财务要求的，甲方有权拒付，且不承担逾期付款的责任。</w:t>
      </w:r>
    </w:p>
    <w:p>
      <w:pPr>
        <w:ind w:firstLine="480" w:firstLineChars="200"/>
        <w:jc w:val="both"/>
        <w:rPr>
          <w:rFonts w:cs="宋体"/>
          <w:color w:val="auto"/>
          <w:highlight w:val="none"/>
        </w:rPr>
      </w:pPr>
      <w:r>
        <w:rPr>
          <w:rFonts w:hint="eastAsia" w:cs="宋体"/>
          <w:color w:val="auto"/>
          <w:highlight w:val="none"/>
        </w:rPr>
        <w:t>4.乙方保证提供的银行账户信息真实有效，如果乙方账户信息更改，需要在甲方付款前10个日历天内告知甲方，若因乙方原因导致甲方无法付款或错误付款，后果由乙方自行承担。</w:t>
      </w:r>
    </w:p>
    <w:p>
      <w:pPr>
        <w:ind w:firstLine="482" w:firstLineChars="200"/>
        <w:jc w:val="both"/>
        <w:rPr>
          <w:rFonts w:cs="宋体"/>
          <w:b/>
          <w:bCs/>
          <w:color w:val="auto"/>
          <w:highlight w:val="none"/>
        </w:rPr>
      </w:pPr>
      <w:bookmarkStart w:id="1275" w:name="_Toc19079"/>
      <w:r>
        <w:rPr>
          <w:rFonts w:hint="eastAsia" w:cs="宋体"/>
          <w:b/>
          <w:bCs/>
          <w:color w:val="auto"/>
          <w:highlight w:val="none"/>
        </w:rPr>
        <w:t>六、质量及供货渠道要求</w:t>
      </w:r>
    </w:p>
    <w:p>
      <w:pPr>
        <w:ind w:firstLine="480" w:firstLineChars="200"/>
        <w:jc w:val="both"/>
        <w:rPr>
          <w:rFonts w:cs="宋体"/>
          <w:color w:val="auto"/>
          <w:highlight w:val="none"/>
        </w:rPr>
      </w:pPr>
      <w:r>
        <w:rPr>
          <w:rFonts w:hint="eastAsia" w:cs="宋体"/>
          <w:color w:val="auto"/>
          <w:highlight w:val="none"/>
        </w:rPr>
        <w:t>1.乙方应保证货物(含零部件、配件等)是全新、未使用过的原装合格正品，表面无划伤、无碰撞痕迹，货物权属清楚且满足采购人使用需求，不得侵害他人的知识产权。</w:t>
      </w:r>
    </w:p>
    <w:p>
      <w:pPr>
        <w:ind w:firstLine="480" w:firstLineChars="200"/>
        <w:jc w:val="both"/>
        <w:rPr>
          <w:rFonts w:cs="宋体"/>
          <w:color w:val="auto"/>
          <w:highlight w:val="none"/>
        </w:rPr>
      </w:pPr>
      <w:r>
        <w:rPr>
          <w:rFonts w:hint="eastAsia" w:cs="宋体"/>
          <w:color w:val="auto"/>
          <w:highlight w:val="none"/>
        </w:rPr>
        <w:t>2.乙方提供的货物必须国家标准(行业标准)以及甲方的招标文件和乙方的响应文件规定的的质量和规格的要求。若乙方提供的产品的质量或规格与招标文件和乙方的投标文件不符，或证实产品是有缺陷的，包括潜在的缺陷或使用不符合要求的产品等，乙方应在接到甲方书面通知后15个日历天内完成换货，因换货产生的费用由乙方承担，如因不合格产品给甲方造成损失，乙方还应承担赔偿责任。</w:t>
      </w:r>
    </w:p>
    <w:p>
      <w:pPr>
        <w:ind w:firstLine="482" w:firstLineChars="200"/>
        <w:jc w:val="both"/>
        <w:rPr>
          <w:rFonts w:cs="宋体"/>
          <w:b/>
          <w:bCs/>
          <w:color w:val="auto"/>
          <w:highlight w:val="none"/>
        </w:rPr>
      </w:pPr>
      <w:r>
        <w:rPr>
          <w:rFonts w:hint="eastAsia" w:cs="宋体"/>
          <w:b/>
          <w:bCs/>
          <w:color w:val="auto"/>
          <w:highlight w:val="none"/>
        </w:rPr>
        <w:t>七、包装(方式)、运输要求</w:t>
      </w:r>
    </w:p>
    <w:p>
      <w:pPr>
        <w:ind w:firstLine="480" w:firstLineChars="200"/>
        <w:jc w:val="both"/>
        <w:rPr>
          <w:rFonts w:cs="宋体"/>
          <w:color w:val="auto"/>
          <w:highlight w:val="none"/>
        </w:rPr>
      </w:pPr>
      <w:r>
        <w:rPr>
          <w:rFonts w:hint="eastAsia" w:cs="宋体"/>
          <w:color w:val="auto"/>
          <w:highlight w:val="none"/>
        </w:rPr>
        <w:t>1.乙方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乙方承担。</w:t>
      </w:r>
    </w:p>
    <w:p>
      <w:pPr>
        <w:ind w:firstLine="480" w:firstLineChars="200"/>
        <w:jc w:val="both"/>
        <w:rPr>
          <w:rFonts w:cs="宋体"/>
          <w:color w:val="auto"/>
          <w:highlight w:val="none"/>
        </w:rPr>
      </w:pPr>
      <w:r>
        <w:rPr>
          <w:rFonts w:hint="eastAsia" w:cs="宋体"/>
          <w:color w:val="auto"/>
          <w:highlight w:val="none"/>
        </w:rPr>
        <w:t>2.采用木质框架包装，每一包装单元内应附详细的装箱单和质量合格凭证。</w:t>
      </w:r>
    </w:p>
    <w:p>
      <w:pPr>
        <w:ind w:firstLine="482" w:firstLineChars="200"/>
        <w:jc w:val="both"/>
        <w:rPr>
          <w:rFonts w:cs="宋体"/>
          <w:b/>
          <w:bCs/>
          <w:color w:val="auto"/>
          <w:highlight w:val="none"/>
        </w:rPr>
      </w:pPr>
      <w:r>
        <w:rPr>
          <w:rFonts w:hint="eastAsia" w:cs="宋体"/>
          <w:b/>
          <w:bCs/>
          <w:color w:val="auto"/>
          <w:highlight w:val="none"/>
        </w:rPr>
        <w:t>八、安装调试要求</w:t>
      </w:r>
    </w:p>
    <w:p>
      <w:pPr>
        <w:ind w:firstLine="480" w:firstLineChars="200"/>
        <w:jc w:val="both"/>
        <w:rPr>
          <w:rFonts w:cs="宋体"/>
          <w:color w:val="auto"/>
          <w:highlight w:val="none"/>
        </w:rPr>
      </w:pPr>
      <w:r>
        <w:rPr>
          <w:rFonts w:hint="eastAsia" w:cs="宋体"/>
          <w:color w:val="auto"/>
          <w:highlight w:val="none"/>
        </w:rPr>
        <w:t>1.乙方将所有设备送达学校采购人指定地点后进行免费安装、调试及培训等工作。。</w:t>
      </w:r>
    </w:p>
    <w:p>
      <w:pPr>
        <w:ind w:firstLine="480" w:firstLineChars="200"/>
        <w:jc w:val="both"/>
        <w:rPr>
          <w:rFonts w:cs="宋体"/>
          <w:color w:val="auto"/>
          <w:highlight w:val="none"/>
        </w:rPr>
      </w:pPr>
      <w:r>
        <w:rPr>
          <w:rFonts w:hint="eastAsia" w:cs="宋体"/>
          <w:color w:val="auto"/>
          <w:highlight w:val="none"/>
        </w:rPr>
        <w:t>2.乙方严格按照国家相关规范进行安装和调试。</w:t>
      </w:r>
    </w:p>
    <w:p>
      <w:pPr>
        <w:ind w:firstLine="482" w:firstLineChars="200"/>
        <w:jc w:val="both"/>
        <w:rPr>
          <w:rFonts w:cs="宋体"/>
          <w:b/>
          <w:bCs/>
          <w:color w:val="auto"/>
          <w:highlight w:val="none"/>
        </w:rPr>
      </w:pPr>
      <w:r>
        <w:rPr>
          <w:rFonts w:hint="eastAsia" w:cs="宋体"/>
          <w:b/>
          <w:bCs/>
          <w:color w:val="auto"/>
          <w:highlight w:val="none"/>
        </w:rPr>
        <w:t>九、售后服务及要求</w:t>
      </w:r>
    </w:p>
    <w:p>
      <w:pPr>
        <w:ind w:firstLine="480" w:firstLineChars="200"/>
        <w:jc w:val="both"/>
        <w:rPr>
          <w:rFonts w:cs="宋体"/>
          <w:color w:val="auto"/>
          <w:highlight w:val="none"/>
        </w:rPr>
      </w:pPr>
      <w:r>
        <w:rPr>
          <w:rFonts w:hint="eastAsia" w:cs="宋体"/>
          <w:color w:val="auto"/>
          <w:highlight w:val="none"/>
        </w:rPr>
        <w:t>1.售后服务分电话(含网络)服务和上门服务。售后服务期内，乙方在接到甲方故障报修后能在2小时内通过电话(含网络)服务排除故障的，则无需上门服务。若在规定时间内不能通过电话(含网络)服务排除故障的，乙方应在故障报修后的12小时内到达现场，到达现场后24小时内排除故障(若涉及主要零件更换或者返厂维修的故障排除时间由双方协商确定)。</w:t>
      </w:r>
    </w:p>
    <w:p>
      <w:pPr>
        <w:ind w:firstLine="480" w:firstLineChars="200"/>
        <w:jc w:val="both"/>
        <w:rPr>
          <w:rFonts w:cs="宋体"/>
          <w:color w:val="auto"/>
          <w:highlight w:val="none"/>
        </w:rPr>
      </w:pPr>
      <w:r>
        <w:rPr>
          <w:rFonts w:hint="eastAsia" w:cs="宋体"/>
          <w:color w:val="auto"/>
          <w:highlight w:val="none"/>
        </w:rPr>
        <w:t>2.售后服务期内乙方应为本项目所有设备以及软件提供巡检服务，每间隔6月巡检一次，且每次巡检结束后5个工作日内提供每套设备的详细巡检情况记录并加盖单位公章。</w:t>
      </w:r>
    </w:p>
    <w:p>
      <w:pPr>
        <w:ind w:firstLine="480" w:firstLineChars="200"/>
        <w:jc w:val="both"/>
        <w:rPr>
          <w:rFonts w:cs="宋体"/>
          <w:color w:val="auto"/>
          <w:highlight w:val="none"/>
        </w:rPr>
      </w:pPr>
      <w:r>
        <w:rPr>
          <w:rFonts w:hint="eastAsia" w:cs="宋体"/>
          <w:color w:val="auto"/>
          <w:highlight w:val="none"/>
        </w:rPr>
        <w:t>3.售后服务期内，乙方两次维修都不能达到需求的，乙方提供免费更换服务。</w:t>
      </w:r>
    </w:p>
    <w:p>
      <w:pPr>
        <w:ind w:firstLine="480" w:firstLineChars="200"/>
        <w:jc w:val="both"/>
        <w:rPr>
          <w:rFonts w:cs="宋体"/>
          <w:color w:val="auto"/>
          <w:highlight w:val="none"/>
        </w:rPr>
      </w:pPr>
      <w:r>
        <w:rPr>
          <w:rFonts w:hint="eastAsia" w:cs="宋体"/>
          <w:color w:val="auto"/>
          <w:highlight w:val="none"/>
        </w:rPr>
        <w:t>4.售后服务期内涉及的人工、设备(含零部件、配件、辅材)维护和更换等费用均由乙方承担。</w:t>
      </w:r>
    </w:p>
    <w:p>
      <w:pPr>
        <w:ind w:firstLine="480" w:firstLineChars="200"/>
        <w:jc w:val="both"/>
        <w:rPr>
          <w:rFonts w:cs="宋体"/>
          <w:color w:val="auto"/>
          <w:highlight w:val="none"/>
        </w:rPr>
      </w:pPr>
      <w:r>
        <w:rPr>
          <w:rFonts w:hint="eastAsia" w:cs="宋体"/>
          <w:color w:val="auto"/>
          <w:highlight w:val="none"/>
        </w:rPr>
        <w:t>5.乙方提供3次现场培训，每次时间不少于</w:t>
      </w:r>
      <w:r>
        <w:rPr>
          <w:rFonts w:cs="宋体"/>
          <w:color w:val="auto"/>
          <w:highlight w:val="none"/>
        </w:rPr>
        <w:t>2</w:t>
      </w:r>
      <w:r>
        <w:rPr>
          <w:rFonts w:hint="eastAsia" w:cs="宋体"/>
          <w:color w:val="auto"/>
          <w:highlight w:val="none"/>
        </w:rPr>
        <w:t>天，包括设备和软件的安装、调试、维护、使用，确保甲方完全掌握设备和软件的各项功能。乙方为所有参培训人员提供文字资料和讲义等培训教材，培训教材以印刷品形式提供，费用由乙方承担。</w:t>
      </w:r>
    </w:p>
    <w:bookmarkEnd w:id="1275"/>
    <w:p>
      <w:pPr>
        <w:ind w:firstLine="482" w:firstLineChars="200"/>
        <w:jc w:val="both"/>
        <w:rPr>
          <w:rFonts w:cs="宋体"/>
          <w:b/>
          <w:bCs/>
          <w:color w:val="auto"/>
          <w:highlight w:val="none"/>
        </w:rPr>
      </w:pPr>
      <w:r>
        <w:rPr>
          <w:rFonts w:hint="eastAsia" w:cs="宋体"/>
          <w:b/>
          <w:bCs/>
          <w:color w:val="auto"/>
          <w:highlight w:val="none"/>
        </w:rPr>
        <w:t>十</w:t>
      </w:r>
      <w:bookmarkStart w:id="1276" w:name="_Toc11800"/>
      <w:r>
        <w:rPr>
          <w:rFonts w:hint="eastAsia" w:cs="宋体"/>
          <w:b/>
          <w:bCs/>
          <w:color w:val="auto"/>
          <w:highlight w:val="none"/>
        </w:rPr>
        <w:t>、其他商务要求</w:t>
      </w:r>
    </w:p>
    <w:p>
      <w:pPr>
        <w:ind w:firstLine="480" w:firstLineChars="200"/>
        <w:jc w:val="both"/>
        <w:rPr>
          <w:rFonts w:cs="宋体"/>
          <w:color w:val="auto"/>
          <w:highlight w:val="none"/>
        </w:rPr>
      </w:pPr>
      <w:r>
        <w:rPr>
          <w:rFonts w:hint="eastAsia" w:cs="宋体"/>
          <w:color w:val="auto"/>
          <w:highlight w:val="none"/>
        </w:rPr>
        <w:t>1.乙方应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甲方因此遭受的全部损失(包括但不限于因此向第三方支付的赔偿金、违约金等，以及因此支出的诉讼费用、律师费、保全费等)均由乙方承担。</w:t>
      </w:r>
    </w:p>
    <w:p>
      <w:pPr>
        <w:ind w:firstLine="480" w:firstLineChars="200"/>
        <w:jc w:val="both"/>
        <w:rPr>
          <w:rFonts w:cs="宋体"/>
          <w:color w:val="auto"/>
          <w:highlight w:val="none"/>
        </w:rPr>
      </w:pPr>
      <w:r>
        <w:rPr>
          <w:rFonts w:hint="eastAsia" w:cs="宋体"/>
          <w:color w:val="auto"/>
          <w:highlight w:val="none"/>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wordWrap w:val="0"/>
        <w:overflowPunct/>
        <w:topLinePunct w:val="0"/>
        <w:autoSpaceDE/>
        <w:autoSpaceDN/>
        <w:bidi w:val="0"/>
        <w:adjustRightInd w:val="0"/>
        <w:snapToGrid w:val="0"/>
        <w:ind w:firstLine="480" w:firstLineChars="200"/>
        <w:jc w:val="both"/>
        <w:textAlignment w:val="auto"/>
        <w:rPr>
          <w:rFonts w:hint="eastAsia" w:cs="宋体"/>
          <w:b/>
          <w:bCs/>
          <w:color w:val="auto"/>
          <w:highlight w:val="none"/>
        </w:rPr>
      </w:pPr>
      <w:r>
        <w:rPr>
          <w:rFonts w:ascii="宋体" w:hAnsi="宋体" w:eastAsia="宋体" w:cs="宋体"/>
          <w:sz w:val="24"/>
          <w:szCs w:val="24"/>
        </w:rPr>
        <w:t>3.乙方为本项目配置的服务团队为：</w:t>
      </w:r>
      <w:r>
        <w:rPr>
          <w:rFonts w:ascii="宋体" w:hAnsi="宋体" w:eastAsia="宋体" w:cs="宋体"/>
          <w:sz w:val="24"/>
          <w:szCs w:val="24"/>
          <w:u w:val="single"/>
        </w:rPr>
        <w:t> </w:t>
      </w:r>
      <w:r>
        <w:rPr>
          <w:rFonts w:hint="default" w:ascii="宋体" w:hAnsi="宋体" w:eastAsia="宋体" w:cs="宋体"/>
          <w:sz w:val="24"/>
          <w:szCs w:val="24"/>
          <w:u w:val="single"/>
          <w:lang w:val="en-US"/>
        </w:rPr>
        <w:t xml:space="preserve">  </w:t>
      </w:r>
      <w:r>
        <w:rPr>
          <w:rFonts w:ascii="宋体" w:hAnsi="宋体" w:eastAsia="宋体" w:cs="宋体"/>
          <w:sz w:val="24"/>
          <w:szCs w:val="24"/>
          <w:u w:val="single"/>
        </w:rPr>
        <w:t>、  、  、  </w:t>
      </w:r>
      <w:r>
        <w:rPr>
          <w:rFonts w:ascii="宋体" w:hAnsi="宋体" w:eastAsia="宋体" w:cs="宋体"/>
          <w:sz w:val="24"/>
          <w:szCs w:val="24"/>
        </w:rPr>
        <w:t>，其中</w:t>
      </w:r>
      <w:r>
        <w:rPr>
          <w:rFonts w:hint="default" w:ascii="宋体" w:hAnsi="宋体" w:eastAsia="宋体" w:cs="宋体"/>
          <w:sz w:val="24"/>
          <w:szCs w:val="24"/>
          <w:u w:val="single"/>
          <w:lang w:val="en-US"/>
        </w:rPr>
        <w:t xml:space="preserve">      </w:t>
      </w:r>
      <w:r>
        <w:rPr>
          <w:rFonts w:ascii="宋体" w:hAnsi="宋体" w:eastAsia="宋体" w:cs="宋体"/>
          <w:sz w:val="24"/>
          <w:szCs w:val="24"/>
        </w:rPr>
        <w:t>具备人社部门颁发的三级及以上汽车维修工职业资格证书参与安装调试及货物验收。</w:t>
      </w:r>
    </w:p>
    <w:p>
      <w:pPr>
        <w:ind w:firstLine="482" w:firstLineChars="200"/>
        <w:jc w:val="both"/>
        <w:rPr>
          <w:rFonts w:cs="宋体"/>
          <w:b/>
          <w:bCs/>
          <w:color w:val="auto"/>
          <w:highlight w:val="none"/>
        </w:rPr>
      </w:pPr>
      <w:r>
        <w:rPr>
          <w:rFonts w:hint="eastAsia" w:cs="宋体"/>
          <w:b/>
          <w:bCs/>
          <w:color w:val="auto"/>
          <w:highlight w:val="none"/>
        </w:rPr>
        <w:t>十一、方案要求</w:t>
      </w:r>
    </w:p>
    <w:p>
      <w:pPr>
        <w:ind w:firstLine="480" w:firstLineChars="200"/>
        <w:jc w:val="both"/>
        <w:rPr>
          <w:rFonts w:cs="宋体"/>
          <w:color w:val="auto"/>
          <w:highlight w:val="none"/>
        </w:rPr>
      </w:pPr>
      <w:r>
        <w:rPr>
          <w:rFonts w:hint="eastAsia" w:cs="宋体"/>
          <w:color w:val="auto"/>
          <w:highlight w:val="none"/>
        </w:rPr>
        <w:t>1.乙方制定的售后服务方案详见乙方投标文件（包含质保期、应急维修时间安排、服务团队、地址及电话、服务人员管理制度、巡检服务周期、售后服务质量保障措施、技术更新和产品升级等内容）。</w:t>
      </w:r>
    </w:p>
    <w:p>
      <w:pPr>
        <w:ind w:firstLine="480" w:firstLineChars="200"/>
        <w:jc w:val="both"/>
        <w:rPr>
          <w:rFonts w:cs="宋体"/>
          <w:color w:val="auto"/>
          <w:highlight w:val="none"/>
        </w:rPr>
      </w:pPr>
      <w:r>
        <w:rPr>
          <w:rFonts w:hint="eastAsia" w:cs="宋体"/>
          <w:color w:val="auto"/>
          <w:highlight w:val="none"/>
        </w:rPr>
        <w:t>2.乙方制定的培训方案详见乙方投标文件【包含培训内容、培训资源(能为培训提供的师资和设备等资源)、培训方法、时间安排、培训的效果预测等内容】。</w:t>
      </w:r>
    </w:p>
    <w:p>
      <w:pPr>
        <w:ind w:firstLine="482" w:firstLineChars="200"/>
        <w:jc w:val="both"/>
        <w:rPr>
          <w:rFonts w:cs="宋体"/>
          <w:b/>
          <w:bCs/>
          <w:color w:val="auto"/>
          <w:highlight w:val="none"/>
        </w:rPr>
      </w:pPr>
      <w:r>
        <w:rPr>
          <w:rFonts w:hint="eastAsia" w:cs="宋体"/>
          <w:b/>
          <w:bCs/>
          <w:color w:val="auto"/>
          <w:highlight w:val="none"/>
        </w:rPr>
        <w:t>十二、双方的权利和义务</w:t>
      </w:r>
    </w:p>
    <w:p>
      <w:pPr>
        <w:ind w:firstLine="480" w:firstLineChars="200"/>
        <w:jc w:val="both"/>
        <w:rPr>
          <w:rFonts w:cs="宋体"/>
          <w:color w:val="auto"/>
          <w:highlight w:val="none"/>
        </w:rPr>
      </w:pPr>
      <w:r>
        <w:rPr>
          <w:rFonts w:hint="eastAsia" w:cs="宋体"/>
          <w:color w:val="auto"/>
          <w:highlight w:val="none"/>
        </w:rPr>
        <w:t>(一)甲方的权利和义务</w:t>
      </w:r>
    </w:p>
    <w:p>
      <w:pPr>
        <w:ind w:firstLine="480" w:firstLineChars="200"/>
        <w:jc w:val="both"/>
        <w:rPr>
          <w:rFonts w:cs="宋体"/>
          <w:color w:val="auto"/>
          <w:highlight w:val="none"/>
        </w:rPr>
      </w:pPr>
      <w:r>
        <w:rPr>
          <w:rFonts w:hint="eastAsia" w:cs="宋体"/>
          <w:color w:val="auto"/>
          <w:highlight w:val="none"/>
        </w:rPr>
        <w:t>1.甲方有权对合同规定范围内乙方提供的产品及服务行为进行监督和检查，拥有监管权。有权核对乙方提供产品及服务质量。对甲方认为质量不合格的货物有权下达整改通知书，并要求乙方限期修理及更换。</w:t>
      </w:r>
    </w:p>
    <w:p>
      <w:pPr>
        <w:ind w:firstLine="480" w:firstLineChars="200"/>
        <w:jc w:val="both"/>
        <w:rPr>
          <w:rFonts w:cs="宋体"/>
          <w:color w:val="auto"/>
          <w:highlight w:val="none"/>
        </w:rPr>
      </w:pPr>
      <w:r>
        <w:rPr>
          <w:rFonts w:hint="eastAsia" w:cs="宋体"/>
          <w:color w:val="auto"/>
          <w:highlight w:val="none"/>
        </w:rPr>
        <w:t>2.负责检查监督乙方提供货物及服务的实施的执行情况。</w:t>
      </w:r>
    </w:p>
    <w:p>
      <w:pPr>
        <w:ind w:firstLine="480" w:firstLineChars="200"/>
        <w:jc w:val="both"/>
        <w:rPr>
          <w:rFonts w:cs="宋体"/>
          <w:color w:val="auto"/>
          <w:highlight w:val="none"/>
        </w:rPr>
      </w:pPr>
      <w:r>
        <w:rPr>
          <w:rFonts w:hint="eastAsia" w:cs="宋体"/>
          <w:color w:val="auto"/>
          <w:highlight w:val="none"/>
        </w:rPr>
        <w:t>3.根据本合同规定，按时向乙方支付应付费用。</w:t>
      </w:r>
    </w:p>
    <w:p>
      <w:pPr>
        <w:ind w:firstLine="480" w:firstLineChars="200"/>
        <w:jc w:val="both"/>
        <w:rPr>
          <w:rFonts w:cs="宋体"/>
          <w:color w:val="auto"/>
          <w:highlight w:val="none"/>
        </w:rPr>
      </w:pPr>
      <w:r>
        <w:rPr>
          <w:rFonts w:hint="eastAsia" w:cs="宋体"/>
          <w:color w:val="auto"/>
          <w:highlight w:val="none"/>
        </w:rPr>
        <w:t>4.国家法律、法规所规定由甲方承担的其它责任。</w:t>
      </w:r>
    </w:p>
    <w:p>
      <w:pPr>
        <w:ind w:firstLine="480" w:firstLineChars="200"/>
        <w:jc w:val="both"/>
        <w:rPr>
          <w:rFonts w:cs="宋体"/>
          <w:color w:val="auto"/>
          <w:highlight w:val="none"/>
        </w:rPr>
      </w:pPr>
      <w:r>
        <w:rPr>
          <w:rFonts w:hint="eastAsia" w:cs="宋体"/>
          <w:color w:val="auto"/>
          <w:highlight w:val="none"/>
        </w:rPr>
        <w:t>(二)乙方的权利和义务</w:t>
      </w:r>
    </w:p>
    <w:p>
      <w:pPr>
        <w:ind w:firstLine="480" w:firstLineChars="200"/>
        <w:jc w:val="both"/>
        <w:rPr>
          <w:rFonts w:cs="宋体"/>
          <w:color w:val="auto"/>
          <w:highlight w:val="none"/>
        </w:rPr>
      </w:pPr>
      <w:r>
        <w:rPr>
          <w:rFonts w:hint="eastAsia" w:cs="宋体"/>
          <w:color w:val="auto"/>
          <w:highlight w:val="none"/>
        </w:rPr>
        <w:t>1.对本合同规定的委托事项范围内的项目享有管理权及服务义务。</w:t>
      </w:r>
    </w:p>
    <w:p>
      <w:pPr>
        <w:ind w:firstLine="480" w:firstLineChars="200"/>
        <w:jc w:val="both"/>
        <w:rPr>
          <w:rFonts w:cs="宋体"/>
          <w:color w:val="auto"/>
          <w:highlight w:val="none"/>
        </w:rPr>
      </w:pPr>
      <w:r>
        <w:rPr>
          <w:rFonts w:hint="eastAsia" w:cs="宋体"/>
          <w:color w:val="auto"/>
          <w:highlight w:val="none"/>
        </w:rPr>
        <w:t>2.根据本合同的规定向甲方收取相关费用。</w:t>
      </w:r>
    </w:p>
    <w:p>
      <w:pPr>
        <w:ind w:firstLine="480" w:firstLineChars="200"/>
        <w:jc w:val="both"/>
        <w:rPr>
          <w:rFonts w:cs="宋体"/>
          <w:color w:val="auto"/>
          <w:highlight w:val="none"/>
        </w:rPr>
      </w:pPr>
      <w:r>
        <w:rPr>
          <w:rFonts w:hint="eastAsia" w:cs="宋体"/>
          <w:color w:val="auto"/>
          <w:highlight w:val="none"/>
        </w:rPr>
        <w:t>3.及时向甲方通告本项目实施相关重大事项，及时配合处理售后。</w:t>
      </w:r>
    </w:p>
    <w:p>
      <w:pPr>
        <w:ind w:firstLine="480" w:firstLineChars="200"/>
        <w:jc w:val="both"/>
        <w:rPr>
          <w:rFonts w:cs="宋体"/>
          <w:color w:val="auto"/>
          <w:highlight w:val="none"/>
        </w:rPr>
      </w:pPr>
      <w:r>
        <w:rPr>
          <w:rFonts w:hint="eastAsia" w:cs="宋体"/>
          <w:color w:val="auto"/>
          <w:highlight w:val="none"/>
        </w:rPr>
        <w:t>4.接受项目行业管理部门及政府有关部门的指导，接受甲方的监督。</w:t>
      </w:r>
    </w:p>
    <w:p>
      <w:pPr>
        <w:ind w:firstLine="480" w:firstLineChars="200"/>
        <w:jc w:val="both"/>
        <w:rPr>
          <w:rFonts w:cs="宋体"/>
          <w:color w:val="auto"/>
          <w:highlight w:val="none"/>
        </w:rPr>
      </w:pPr>
      <w:r>
        <w:rPr>
          <w:rFonts w:hint="eastAsia" w:cs="宋体"/>
          <w:color w:val="auto"/>
          <w:highlight w:val="none"/>
        </w:rPr>
        <w:t>5.履行本合同的全部安全责任均由乙方承担，甲方对此不承担任何责任。</w:t>
      </w:r>
    </w:p>
    <w:p>
      <w:pPr>
        <w:ind w:firstLine="480" w:firstLineChars="200"/>
        <w:rPr>
          <w:rFonts w:cs="宋体"/>
          <w:color w:val="auto"/>
          <w:highlight w:val="none"/>
        </w:rPr>
      </w:pPr>
      <w:r>
        <w:rPr>
          <w:rFonts w:hint="eastAsia" w:cs="宋体"/>
          <w:color w:val="auto"/>
          <w:highlight w:val="none"/>
        </w:rPr>
        <w:t>6.项目实施过程中乙方对甲方原场地、设施进行有效保护，如有损坏的应负责修复，无法修复的设施设备，供应商原价双倍赔偿。</w:t>
      </w:r>
    </w:p>
    <w:p>
      <w:pPr>
        <w:ind w:firstLine="480" w:firstLineChars="200"/>
        <w:jc w:val="both"/>
        <w:rPr>
          <w:rFonts w:cs="宋体"/>
          <w:color w:val="auto"/>
          <w:highlight w:val="none"/>
        </w:rPr>
      </w:pPr>
      <w:r>
        <w:rPr>
          <w:rFonts w:hint="eastAsia" w:cs="宋体"/>
          <w:color w:val="auto"/>
          <w:highlight w:val="none"/>
        </w:rPr>
        <w:t>7.国家法律、法规所规定由乙方承担的其它责任。</w:t>
      </w:r>
    </w:p>
    <w:p>
      <w:pPr>
        <w:ind w:firstLine="482" w:firstLineChars="200"/>
        <w:jc w:val="both"/>
        <w:rPr>
          <w:rFonts w:cs="宋体"/>
          <w:b/>
          <w:bCs/>
          <w:color w:val="auto"/>
          <w:highlight w:val="none"/>
        </w:rPr>
      </w:pPr>
      <w:r>
        <w:rPr>
          <w:rFonts w:hint="eastAsia" w:cs="宋体"/>
          <w:b/>
          <w:bCs/>
          <w:color w:val="auto"/>
          <w:highlight w:val="none"/>
        </w:rPr>
        <w:t>十三、履约保证金要求</w:t>
      </w:r>
      <w:bookmarkEnd w:id="1276"/>
    </w:p>
    <w:p>
      <w:pPr>
        <w:ind w:firstLine="480" w:firstLineChars="200"/>
        <w:jc w:val="both"/>
        <w:rPr>
          <w:rFonts w:cs="宋体"/>
          <w:color w:val="auto"/>
          <w:highlight w:val="none"/>
        </w:rPr>
      </w:pPr>
      <w:r>
        <w:rPr>
          <w:rFonts w:hint="eastAsia" w:cs="宋体"/>
          <w:color w:val="auto"/>
          <w:highlight w:val="none"/>
        </w:rPr>
        <w:t>1.本项目履约保证金为</w:t>
      </w:r>
      <w:r>
        <w:rPr>
          <w:rFonts w:hint="eastAsia" w:cs="宋体"/>
          <w:color w:val="auto"/>
          <w:highlight w:val="none"/>
          <w:u w:val="single"/>
        </w:rPr>
        <w:t xml:space="preserve">          元整(中标金额的百分之五)</w:t>
      </w:r>
      <w:r>
        <w:rPr>
          <w:rFonts w:hint="eastAsia" w:cs="宋体"/>
          <w:color w:val="auto"/>
          <w:highlight w:val="none"/>
        </w:rPr>
        <w:t>，乙方应在中标通知书发出之日起</w:t>
      </w:r>
      <w:r>
        <w:rPr>
          <w:rFonts w:hint="eastAsia" w:cs="宋体"/>
          <w:color w:val="auto"/>
          <w:highlight w:val="none"/>
          <w:u w:val="single"/>
        </w:rPr>
        <w:t>30</w:t>
      </w:r>
      <w:r>
        <w:rPr>
          <w:rFonts w:hint="eastAsia" w:cs="宋体"/>
          <w:color w:val="auto"/>
          <w:highlight w:val="none"/>
        </w:rPr>
        <w:t>日历日内，以支票、汇票、本票或者金融机构出具的保函等非现金形式向甲方交纳规定金额的履约保证金。</w:t>
      </w:r>
    </w:p>
    <w:p>
      <w:pPr>
        <w:numPr>
          <w:ilvl w:val="1"/>
          <w:numId w:val="0"/>
        </w:numPr>
        <w:wordWrap w:val="0"/>
        <w:topLinePunct/>
        <w:ind w:firstLine="480" w:firstLineChars="200"/>
        <w:jc w:val="both"/>
        <w:rPr>
          <w:rFonts w:cs="宋体"/>
          <w:color w:val="auto"/>
          <w:highlight w:val="none"/>
        </w:rPr>
      </w:pPr>
      <w:r>
        <w:rPr>
          <w:rFonts w:hint="eastAsia" w:cs="宋体"/>
          <w:color w:val="auto"/>
          <w:highlight w:val="none"/>
        </w:rPr>
        <w:t>2.履行合同约定(含售后服务)毕后,无质量问题和违约责任情况，乙方凭“验收报告单”、“收到退还履约保证金的收据”、“履约保证金退还申请”到甲方计财处办理，无息退还。甲方收到乙方提交的履约保证金退还申请等资料并经甲方审核后，30个日历日内退还乙方应退部分履约保证金。因甲方原因逾期退还的，应当以未退还金额为基数，按合同订立时1年期贷款市场报价利率标准向乙方支付相应违约金，但违约金最高不得超过未退还金额的百分之二十。</w:t>
      </w:r>
    </w:p>
    <w:p>
      <w:pPr>
        <w:ind w:firstLine="480" w:firstLineChars="200"/>
        <w:jc w:val="both"/>
        <w:rPr>
          <w:rFonts w:cs="宋体"/>
          <w:color w:val="auto"/>
          <w:highlight w:val="none"/>
        </w:rPr>
      </w:pPr>
      <w:r>
        <w:rPr>
          <w:rFonts w:hint="eastAsia" w:cs="宋体"/>
          <w:color w:val="auto"/>
          <w:highlight w:val="none"/>
        </w:rPr>
        <w:t>3.履约保证金汇入的银行及账号：</w:t>
      </w:r>
    </w:p>
    <w:p>
      <w:pPr>
        <w:ind w:firstLine="480" w:firstLineChars="200"/>
        <w:jc w:val="both"/>
        <w:rPr>
          <w:rFonts w:cs="宋体"/>
          <w:color w:val="auto"/>
          <w:highlight w:val="none"/>
        </w:rPr>
      </w:pPr>
      <w:r>
        <w:rPr>
          <w:rFonts w:hint="eastAsia" w:cs="宋体"/>
          <w:color w:val="auto"/>
          <w:highlight w:val="none"/>
        </w:rPr>
        <w:t xml:space="preserve">    收款账号：成都市技师学院</w:t>
      </w:r>
    </w:p>
    <w:p>
      <w:pPr>
        <w:ind w:firstLine="480" w:firstLineChars="200"/>
        <w:jc w:val="both"/>
        <w:rPr>
          <w:rFonts w:cs="宋体"/>
          <w:color w:val="auto"/>
          <w:highlight w:val="none"/>
        </w:rPr>
      </w:pPr>
      <w:r>
        <w:rPr>
          <w:rFonts w:hint="eastAsia" w:cs="宋体"/>
          <w:color w:val="auto"/>
          <w:highlight w:val="none"/>
        </w:rPr>
        <w:t xml:space="preserve">    开户行：工行成都红光支行</w:t>
      </w:r>
    </w:p>
    <w:p>
      <w:pPr>
        <w:ind w:firstLine="480" w:firstLineChars="200"/>
        <w:jc w:val="both"/>
        <w:rPr>
          <w:rFonts w:cs="宋体"/>
          <w:color w:val="auto"/>
          <w:highlight w:val="none"/>
        </w:rPr>
      </w:pPr>
      <w:r>
        <w:rPr>
          <w:rFonts w:hint="eastAsia" w:cs="宋体"/>
          <w:color w:val="auto"/>
          <w:highlight w:val="none"/>
        </w:rPr>
        <w:t xml:space="preserve">    银行账号：4402054609100031151</w:t>
      </w:r>
    </w:p>
    <w:p>
      <w:pPr>
        <w:ind w:firstLine="480" w:firstLineChars="200"/>
        <w:jc w:val="both"/>
        <w:rPr>
          <w:rFonts w:cs="宋体"/>
          <w:color w:val="auto"/>
          <w:highlight w:val="none"/>
        </w:rPr>
      </w:pPr>
      <w:r>
        <w:rPr>
          <w:rFonts w:hint="eastAsia" w:cs="宋体"/>
          <w:color w:val="auto"/>
          <w:highlight w:val="none"/>
        </w:rPr>
        <w:t>4.如乙方未在中标通知书发出之日起30日历日内按时足额向甲方交纳履约保证金，甲方有权按照评审报告确定的乙方选人名单顺序，确定下一候选人为中标供应商，或重新开展政府采购活动。</w:t>
      </w:r>
    </w:p>
    <w:p>
      <w:pPr>
        <w:ind w:firstLine="480" w:firstLineChars="200"/>
        <w:jc w:val="both"/>
        <w:rPr>
          <w:rFonts w:cs="宋体"/>
          <w:color w:val="auto"/>
          <w:highlight w:val="none"/>
        </w:rPr>
      </w:pPr>
      <w:r>
        <w:rPr>
          <w:rFonts w:hint="eastAsia" w:cs="宋体"/>
          <w:color w:val="auto"/>
          <w:highlight w:val="none"/>
        </w:rPr>
        <w:t>5.履约保证金不予退还情形：一是乙方未按合同要求履行的，其履约保证金全部扣除。二是乙方缴纳了履约保证金，但因自身原因被取消中标资格或在中标通知书发出之日起30个日历天(含法定节假日)内乙方不按招标文件确定的事项与甲方签订合同的，其履约保证金不予退还；三是法律法规或合同约定的其他情形。履约保证金不予退还的，将按照有关规定上缴国库。</w:t>
      </w:r>
    </w:p>
    <w:p>
      <w:pPr>
        <w:ind w:firstLine="482" w:firstLineChars="200"/>
        <w:jc w:val="both"/>
        <w:rPr>
          <w:rFonts w:cs="宋体"/>
          <w:b/>
          <w:bCs/>
          <w:color w:val="auto"/>
          <w:highlight w:val="none"/>
        </w:rPr>
      </w:pPr>
      <w:r>
        <w:rPr>
          <w:rFonts w:hint="eastAsia" w:cs="宋体"/>
          <w:b/>
          <w:bCs/>
          <w:color w:val="auto"/>
          <w:highlight w:val="none"/>
        </w:rPr>
        <w:t>十四、验收、交付标准和方法</w:t>
      </w:r>
    </w:p>
    <w:p>
      <w:pPr>
        <w:ind w:firstLine="480" w:firstLineChars="200"/>
        <w:jc w:val="both"/>
        <w:rPr>
          <w:rFonts w:cs="宋体"/>
          <w:color w:val="auto"/>
          <w:highlight w:val="none"/>
        </w:rPr>
      </w:pPr>
      <w:bookmarkStart w:id="1277" w:name="_Toc13047"/>
      <w:r>
        <w:rPr>
          <w:rFonts w:hint="eastAsia" w:cs="宋体"/>
          <w:color w:val="auto"/>
          <w:highlight w:val="none"/>
        </w:rPr>
        <w:t>1.验收的主体：甲方</w:t>
      </w:r>
    </w:p>
    <w:p>
      <w:pPr>
        <w:ind w:firstLine="480" w:firstLineChars="200"/>
        <w:jc w:val="both"/>
        <w:rPr>
          <w:rFonts w:cs="宋体"/>
          <w:color w:val="auto"/>
          <w:highlight w:val="none"/>
        </w:rPr>
      </w:pPr>
      <w:r>
        <w:rPr>
          <w:rFonts w:hint="eastAsia" w:cs="宋体"/>
          <w:color w:val="auto"/>
          <w:highlight w:val="none"/>
        </w:rPr>
        <w:t>2.验收的时间：</w:t>
      </w:r>
    </w:p>
    <w:p>
      <w:pPr>
        <w:ind w:firstLine="480" w:firstLineChars="200"/>
        <w:jc w:val="both"/>
        <w:rPr>
          <w:rFonts w:cs="宋体"/>
          <w:color w:val="auto"/>
          <w:highlight w:val="none"/>
        </w:rPr>
      </w:pPr>
      <w:r>
        <w:rPr>
          <w:rFonts w:hint="eastAsia" w:cs="宋体"/>
          <w:color w:val="auto"/>
          <w:highlight w:val="none"/>
        </w:rPr>
        <w:t>(1)乙方完成送货、安装调试工作后，书面通知甲方进行货物验收，甲方收到货物验收申请后</w:t>
      </w:r>
      <w:r>
        <w:rPr>
          <w:rFonts w:cs="宋体"/>
          <w:color w:val="auto"/>
          <w:highlight w:val="none"/>
        </w:rPr>
        <w:t>7</w:t>
      </w:r>
      <w:r>
        <w:rPr>
          <w:rFonts w:hint="eastAsia" w:cs="宋体"/>
          <w:color w:val="auto"/>
          <w:highlight w:val="none"/>
        </w:rPr>
        <w:t>个日历天内组织验收。</w:t>
      </w:r>
    </w:p>
    <w:p>
      <w:pPr>
        <w:ind w:firstLine="480" w:firstLineChars="200"/>
        <w:jc w:val="both"/>
        <w:rPr>
          <w:rFonts w:cs="宋体"/>
          <w:color w:val="auto"/>
          <w:highlight w:val="none"/>
        </w:rPr>
      </w:pPr>
      <w:r>
        <w:rPr>
          <w:rFonts w:hint="eastAsia" w:cs="宋体"/>
          <w:color w:val="auto"/>
          <w:highlight w:val="none"/>
        </w:rPr>
        <w:t>(2)售后服务期结束且甲方收到乙方售后服务整体验收申请之日起7日历天内完成售后服务整体验收。</w:t>
      </w:r>
    </w:p>
    <w:p>
      <w:pPr>
        <w:ind w:firstLine="480" w:firstLineChars="200"/>
        <w:jc w:val="both"/>
        <w:rPr>
          <w:rFonts w:cs="宋体"/>
          <w:color w:val="auto"/>
          <w:highlight w:val="none"/>
        </w:rPr>
      </w:pPr>
      <w:r>
        <w:rPr>
          <w:rFonts w:hint="eastAsia" w:cs="宋体"/>
          <w:color w:val="auto"/>
          <w:highlight w:val="none"/>
        </w:rPr>
        <w:t>3.验收的方式：</w:t>
      </w:r>
    </w:p>
    <w:p>
      <w:pPr>
        <w:ind w:firstLine="480" w:firstLineChars="200"/>
        <w:jc w:val="both"/>
        <w:rPr>
          <w:rFonts w:cs="宋体"/>
          <w:color w:val="auto"/>
          <w:highlight w:val="none"/>
        </w:rPr>
      </w:pPr>
      <w:r>
        <w:rPr>
          <w:rFonts w:hint="eastAsia" w:cs="宋体"/>
          <w:color w:val="auto"/>
          <w:highlight w:val="none"/>
        </w:rPr>
        <w:t>(1)货物验收为现场测试验收。</w:t>
      </w:r>
    </w:p>
    <w:p>
      <w:pPr>
        <w:numPr>
          <w:ilvl w:val="1"/>
          <w:numId w:val="0"/>
        </w:numPr>
        <w:wordWrap w:val="0"/>
        <w:topLinePunct/>
        <w:adjustRightInd/>
        <w:snapToGrid/>
        <w:ind w:firstLine="480" w:firstLineChars="200"/>
        <w:jc w:val="both"/>
        <w:rPr>
          <w:rFonts w:hint="eastAsia" w:cs="宋体"/>
          <w:bCs/>
          <w:color w:val="auto"/>
          <w:highlight w:val="none"/>
        </w:rPr>
      </w:pPr>
      <w:r>
        <w:rPr>
          <w:rFonts w:hint="eastAsia" w:cs="宋体"/>
          <w:color w:val="auto"/>
          <w:highlight w:val="none"/>
        </w:rPr>
        <w:t>(2)售后服务验收为考核验收(</w:t>
      </w:r>
      <w:r>
        <w:rPr>
          <w:rFonts w:hint="eastAsia" w:cs="宋体"/>
          <w:bCs/>
          <w:color w:val="auto"/>
          <w:highlight w:val="none"/>
        </w:rPr>
        <w:t>(乙方每次按照售后服务要求提供服务的视为单次售后服务合格，售后服务期内售后服务合格率[合格的售后服务次数/售后服务总次数]低于百分之九十五视为售后服务不合格)。</w:t>
      </w:r>
    </w:p>
    <w:p>
      <w:pPr>
        <w:ind w:firstLine="480" w:firstLineChars="200"/>
        <w:jc w:val="both"/>
        <w:rPr>
          <w:rFonts w:cs="宋体"/>
          <w:color w:val="auto"/>
          <w:highlight w:val="none"/>
        </w:rPr>
      </w:pPr>
      <w:r>
        <w:rPr>
          <w:rFonts w:hint="eastAsia" w:cs="宋体"/>
          <w:color w:val="auto"/>
          <w:highlight w:val="none"/>
        </w:rPr>
        <w:t>4.验收的程序：</w:t>
      </w:r>
    </w:p>
    <w:p>
      <w:pPr>
        <w:ind w:firstLine="480" w:firstLineChars="200"/>
        <w:jc w:val="both"/>
        <w:rPr>
          <w:rFonts w:cs="宋体"/>
          <w:color w:val="auto"/>
          <w:highlight w:val="none"/>
        </w:rPr>
      </w:pPr>
      <w:r>
        <w:rPr>
          <w:rFonts w:cs="宋体"/>
          <w:color w:val="auto"/>
          <w:highlight w:val="none"/>
        </w:rPr>
        <w:t>(1)</w:t>
      </w:r>
      <w:r>
        <w:rPr>
          <w:rFonts w:hint="eastAsia" w:cs="宋体"/>
          <w:color w:val="auto"/>
          <w:highlight w:val="none"/>
        </w:rPr>
        <w:t>乙方</w:t>
      </w:r>
      <w:r>
        <w:rPr>
          <w:rFonts w:cs="宋体"/>
          <w:color w:val="auto"/>
          <w:highlight w:val="none"/>
        </w:rPr>
        <w:t>递交货物验收申请后，</w:t>
      </w:r>
      <w:r>
        <w:rPr>
          <w:rFonts w:hint="eastAsia" w:cs="宋体"/>
          <w:color w:val="auto"/>
          <w:highlight w:val="none"/>
        </w:rPr>
        <w:t>甲方</w:t>
      </w:r>
      <w:r>
        <w:rPr>
          <w:rFonts w:cs="宋体"/>
          <w:color w:val="auto"/>
          <w:highlight w:val="none"/>
        </w:rPr>
        <w:t>组织3人以上的验收小组进行现场测试验收；验收合格，则签署《验收报告单》</w:t>
      </w:r>
      <w:r>
        <w:rPr>
          <w:rFonts w:hint="eastAsia" w:cs="宋体"/>
          <w:color w:val="auto"/>
          <w:highlight w:val="none"/>
        </w:rPr>
        <w:t>，</w:t>
      </w:r>
      <w:r>
        <w:rPr>
          <w:rFonts w:cs="宋体"/>
          <w:color w:val="auto"/>
          <w:highlight w:val="none"/>
        </w:rPr>
        <w:t>若验收不合格，</w:t>
      </w:r>
      <w:r>
        <w:rPr>
          <w:rFonts w:hint="eastAsia" w:cs="宋体"/>
          <w:color w:val="auto"/>
          <w:highlight w:val="none"/>
        </w:rPr>
        <w:t>乙方</w:t>
      </w:r>
      <w:r>
        <w:rPr>
          <w:rFonts w:cs="宋体"/>
          <w:color w:val="auto"/>
          <w:highlight w:val="none"/>
        </w:rPr>
        <w:t>应在接到采购人整改通知之日起15个日历天内完成整改，再由</w:t>
      </w:r>
      <w:r>
        <w:rPr>
          <w:rFonts w:hint="eastAsia" w:cs="宋体"/>
          <w:color w:val="auto"/>
          <w:highlight w:val="none"/>
        </w:rPr>
        <w:t>甲方</w:t>
      </w:r>
      <w:r>
        <w:rPr>
          <w:rFonts w:cs="宋体"/>
          <w:color w:val="auto"/>
          <w:highlight w:val="none"/>
        </w:rPr>
        <w:t>组织重新验收，若货物再次验收不合格则视为投标人不能履约，</w:t>
      </w:r>
      <w:r>
        <w:rPr>
          <w:rFonts w:hint="eastAsia" w:cs="宋体"/>
          <w:color w:val="auto"/>
          <w:highlight w:val="none"/>
        </w:rPr>
        <w:t>甲方</w:t>
      </w:r>
      <w:r>
        <w:rPr>
          <w:rFonts w:cs="宋体"/>
          <w:color w:val="auto"/>
          <w:highlight w:val="none"/>
        </w:rPr>
        <w:t>有权终止合同，并按合同约定追究</w:t>
      </w:r>
      <w:r>
        <w:rPr>
          <w:rFonts w:hint="eastAsia" w:cs="宋体"/>
          <w:color w:val="auto"/>
          <w:highlight w:val="none"/>
        </w:rPr>
        <w:t>乙方</w:t>
      </w:r>
      <w:r>
        <w:rPr>
          <w:rFonts w:cs="宋体"/>
          <w:color w:val="auto"/>
          <w:highlight w:val="none"/>
        </w:rPr>
        <w:t xml:space="preserve">的违约责任。 </w:t>
      </w:r>
    </w:p>
    <w:p>
      <w:pPr>
        <w:ind w:firstLine="480" w:firstLineChars="200"/>
        <w:jc w:val="both"/>
        <w:rPr>
          <w:rFonts w:cs="宋体"/>
          <w:color w:val="auto"/>
          <w:highlight w:val="none"/>
        </w:rPr>
      </w:pPr>
      <w:r>
        <w:rPr>
          <w:rFonts w:cs="宋体"/>
          <w:color w:val="auto"/>
          <w:highlight w:val="none"/>
        </w:rPr>
        <w:t>(2)单次售后服务完成后，由</w:t>
      </w:r>
      <w:r>
        <w:rPr>
          <w:rFonts w:hint="eastAsia" w:cs="宋体"/>
          <w:color w:val="auto"/>
          <w:highlight w:val="none"/>
        </w:rPr>
        <w:t>甲方</w:t>
      </w:r>
      <w:r>
        <w:rPr>
          <w:rFonts w:cs="宋体"/>
          <w:color w:val="auto"/>
          <w:highlight w:val="none"/>
        </w:rPr>
        <w:t>的经办人现场验收并记录，该记录作为售后服务整体验收的依据</w:t>
      </w:r>
      <w:r>
        <w:rPr>
          <w:rFonts w:hint="eastAsia" w:cs="宋体"/>
          <w:color w:val="auto"/>
          <w:highlight w:val="none"/>
        </w:rPr>
        <w:t>，乙方递交售后服务整体验收申请后，甲方组织</w:t>
      </w:r>
      <w:r>
        <w:rPr>
          <w:rFonts w:cs="宋体"/>
          <w:color w:val="auto"/>
          <w:highlight w:val="none"/>
        </w:rPr>
        <w:t>3人以上的验收小组核查售后服务合格率。验收合格，则签署《验收报告单》；若售后服务验收不合格，</w:t>
      </w:r>
      <w:r>
        <w:rPr>
          <w:rFonts w:hint="eastAsia" w:cs="宋体"/>
          <w:color w:val="auto"/>
          <w:highlight w:val="none"/>
        </w:rPr>
        <w:t>甲方</w:t>
      </w:r>
      <w:r>
        <w:rPr>
          <w:rFonts w:cs="宋体"/>
          <w:color w:val="auto"/>
          <w:highlight w:val="none"/>
        </w:rPr>
        <w:t>有权按合同约定追究</w:t>
      </w:r>
      <w:r>
        <w:rPr>
          <w:rFonts w:hint="eastAsia" w:cs="宋体"/>
          <w:color w:val="auto"/>
          <w:highlight w:val="none"/>
        </w:rPr>
        <w:t>乙方</w:t>
      </w:r>
      <w:r>
        <w:rPr>
          <w:rFonts w:cs="宋体"/>
          <w:color w:val="auto"/>
          <w:highlight w:val="none"/>
        </w:rPr>
        <w:t>的违约责任。</w:t>
      </w:r>
    </w:p>
    <w:p>
      <w:pPr>
        <w:ind w:firstLine="480" w:firstLineChars="200"/>
        <w:jc w:val="both"/>
        <w:rPr>
          <w:rFonts w:cs="宋体"/>
          <w:color w:val="auto"/>
          <w:highlight w:val="none"/>
        </w:rPr>
      </w:pPr>
      <w:r>
        <w:rPr>
          <w:rFonts w:hint="eastAsia" w:cs="宋体"/>
          <w:color w:val="auto"/>
          <w:highlight w:val="none"/>
        </w:rPr>
        <w:t>5.验收的内容：</w:t>
      </w:r>
    </w:p>
    <w:p>
      <w:pPr>
        <w:ind w:firstLine="480" w:firstLineChars="200"/>
        <w:jc w:val="both"/>
        <w:rPr>
          <w:rFonts w:cs="宋体"/>
          <w:color w:val="auto"/>
          <w:highlight w:val="none"/>
        </w:rPr>
      </w:pPr>
      <w:r>
        <w:rPr>
          <w:rFonts w:hint="eastAsia" w:cs="宋体"/>
          <w:color w:val="auto"/>
          <w:highlight w:val="none"/>
        </w:rPr>
        <w:t>(1)货物验收内容包括品牌、型号、数量、外观、安装调试、合格证书、培训、保修单等每一项技术和商务要求(售后服务除外)的履约情况；若验收不合格，乙方应在接到甲方整改通知之日起15个日历天内完成整改，再由甲方组织重新验收，若货物再次验收不合格则视为乙方不能履约，甲方有权终止合同，并按合同第十八条第(二)款第2项约定承担违约责任。</w:t>
      </w:r>
    </w:p>
    <w:p>
      <w:pPr>
        <w:ind w:firstLine="480" w:firstLineChars="200"/>
        <w:jc w:val="both"/>
        <w:rPr>
          <w:rFonts w:cs="宋体"/>
          <w:color w:val="auto"/>
          <w:highlight w:val="none"/>
        </w:rPr>
      </w:pPr>
      <w:r>
        <w:rPr>
          <w:rFonts w:hint="eastAsia" w:cs="宋体"/>
          <w:color w:val="auto"/>
          <w:highlight w:val="none"/>
        </w:rPr>
        <w:t>(2)售后服务验收内容包括售后服务要求中每一项要求的履约情况。验收合格，则签署《验收报告单》；若售后服务验收不合格，甲方有权按合同约定追究乙方的违约责任。</w:t>
      </w:r>
    </w:p>
    <w:p>
      <w:pPr>
        <w:ind w:firstLine="480" w:firstLineChars="200"/>
        <w:jc w:val="both"/>
        <w:rPr>
          <w:rFonts w:cs="宋体"/>
          <w:color w:val="auto"/>
          <w:highlight w:val="none"/>
        </w:rPr>
      </w:pPr>
      <w:r>
        <w:rPr>
          <w:rFonts w:hint="eastAsia" w:cs="宋体"/>
          <w:color w:val="auto"/>
          <w:highlight w:val="none"/>
        </w:rPr>
        <w:t>6.验收的标准：按招标文件的质量要求和技术指标、投标人的响应文件及承诺、合同约定进行验收。其他未尽事宜应按照《财政部关于进一步加强政府采购需求和履约验收管理的指导意见》(财库〔2016〕205 号)的要求进行验收。</w:t>
      </w:r>
    </w:p>
    <w:p>
      <w:pPr>
        <w:ind w:firstLine="480" w:firstLineChars="200"/>
        <w:jc w:val="both"/>
        <w:rPr>
          <w:rFonts w:cs="宋体"/>
          <w:color w:val="auto"/>
          <w:highlight w:val="none"/>
        </w:rPr>
      </w:pPr>
      <w:r>
        <w:rPr>
          <w:rFonts w:hint="eastAsia" w:cs="宋体"/>
          <w:color w:val="auto"/>
          <w:highlight w:val="none"/>
        </w:rPr>
        <w:t>7.交付标准及方式：乙方向甲方移交了装箱清单、配件、随机工具、使用说明或手册、合格证书、原厂保修单等资料，并在甲方指定地点完成设备安装、调整、试运行等工作且通过设备终验收视为供应商交货。</w:t>
      </w:r>
    </w:p>
    <w:p>
      <w:pPr>
        <w:ind w:firstLine="482" w:firstLineChars="200"/>
        <w:rPr>
          <w:rFonts w:cs="宋体"/>
          <w:b/>
          <w:bCs/>
          <w:color w:val="auto"/>
          <w:highlight w:val="none"/>
        </w:rPr>
      </w:pPr>
      <w:r>
        <w:rPr>
          <w:rFonts w:hint="eastAsia" w:cs="宋体"/>
          <w:b/>
          <w:bCs/>
          <w:color w:val="auto"/>
          <w:highlight w:val="none"/>
        </w:rPr>
        <w:t>十五、知识产权</w:t>
      </w:r>
    </w:p>
    <w:p>
      <w:pPr>
        <w:wordWrap w:val="0"/>
        <w:topLinePunct/>
        <w:ind w:firstLine="480" w:firstLineChars="200"/>
        <w:rPr>
          <w:rFonts w:cs="宋体"/>
          <w:snapToGrid w:val="0"/>
          <w:color w:val="auto"/>
          <w:highlight w:val="none"/>
        </w:rPr>
      </w:pPr>
      <w:r>
        <w:rPr>
          <w:rFonts w:hint="eastAsia" w:cs="宋体"/>
          <w:snapToGrid w:val="0"/>
          <w:color w:val="auto"/>
          <w:highlight w:val="none"/>
        </w:rPr>
        <w:t>1.乙方应保证在本项目中使用的任何产品和服务，不会产生因第三方提出侵犯其专利权、商标权或其它知识产权而引起的法律和经济纠纷，如因专利权、商标权或其它知识产权而引起法律和经济纠纷，由乙方承担所有相关责任。甲方因此遭受的全部损失(包括但不限于因此向第三方支付的赔偿金、违约金等，以及因此支出的诉讼费用、律师费、保全费等)均由乙方承担。</w:t>
      </w:r>
    </w:p>
    <w:p>
      <w:pPr>
        <w:ind w:firstLine="480" w:firstLineChars="200"/>
        <w:rPr>
          <w:rFonts w:cs="宋体"/>
          <w:snapToGrid w:val="0"/>
          <w:color w:val="auto"/>
          <w:highlight w:val="none"/>
        </w:rPr>
      </w:pPr>
      <w:r>
        <w:rPr>
          <w:rFonts w:hint="eastAsia" w:cs="宋体"/>
          <w:color w:val="auto"/>
          <w:highlight w:val="none"/>
        </w:rPr>
        <w:t>2.履行本合同产生的知识产权均归甲方所有。</w:t>
      </w:r>
    </w:p>
    <w:p>
      <w:pPr>
        <w:ind w:firstLine="482" w:firstLineChars="200"/>
        <w:rPr>
          <w:rFonts w:cs="宋体"/>
          <w:b/>
          <w:bCs/>
          <w:color w:val="auto"/>
          <w:highlight w:val="none"/>
        </w:rPr>
      </w:pPr>
      <w:r>
        <w:rPr>
          <w:rFonts w:hint="eastAsia" w:cs="宋体"/>
          <w:b/>
          <w:bCs/>
          <w:color w:val="auto"/>
          <w:highlight w:val="none"/>
        </w:rPr>
        <w:t>十六、合同的变更和终止</w:t>
      </w:r>
    </w:p>
    <w:p>
      <w:pPr>
        <w:wordWrap w:val="0"/>
        <w:topLinePunct/>
        <w:ind w:firstLine="480" w:firstLineChars="200"/>
        <w:rPr>
          <w:rFonts w:cs="宋体"/>
          <w:color w:val="auto"/>
          <w:highlight w:val="none"/>
        </w:rPr>
      </w:pPr>
      <w:r>
        <w:rPr>
          <w:rFonts w:hint="eastAsia" w:cs="宋体"/>
          <w:snapToGrid w:val="0"/>
          <w:color w:val="auto"/>
          <w:highlight w:val="none"/>
        </w:rPr>
        <w:t>除《政府采购法》第49条、第50条规定的情形外，本合同一经签订，甲乙双方不得擅自变更、中止或终止合同。</w:t>
      </w:r>
    </w:p>
    <w:p>
      <w:pPr>
        <w:ind w:firstLine="482" w:firstLineChars="200"/>
        <w:rPr>
          <w:rFonts w:cs="宋体"/>
          <w:b/>
          <w:bCs/>
          <w:color w:val="auto"/>
          <w:highlight w:val="none"/>
        </w:rPr>
      </w:pPr>
      <w:r>
        <w:rPr>
          <w:rFonts w:hint="eastAsia" w:cs="宋体"/>
          <w:b/>
          <w:bCs/>
          <w:color w:val="auto"/>
          <w:highlight w:val="none"/>
        </w:rPr>
        <w:t>十七、合同的分包和转让</w:t>
      </w:r>
    </w:p>
    <w:bookmarkEnd w:id="1277"/>
    <w:p>
      <w:pPr>
        <w:ind w:firstLine="480" w:firstLineChars="200"/>
        <w:rPr>
          <w:rFonts w:cs="宋体"/>
          <w:snapToGrid w:val="0"/>
          <w:color w:val="auto"/>
          <w:highlight w:val="none"/>
        </w:rPr>
      </w:pPr>
      <w:bookmarkStart w:id="1278" w:name="_Toc25301"/>
      <w:r>
        <w:rPr>
          <w:rFonts w:hint="eastAsia" w:cs="宋体"/>
          <w:snapToGrid w:val="0"/>
          <w:color w:val="auto"/>
          <w:highlight w:val="none"/>
        </w:rPr>
        <w:t>1.乙方不得部分或全部转让其应履行的合同义务；</w:t>
      </w:r>
    </w:p>
    <w:p>
      <w:pPr>
        <w:ind w:firstLine="480" w:firstLineChars="200"/>
        <w:rPr>
          <w:rFonts w:hint="eastAsia" w:cs="宋体"/>
          <w:snapToGrid w:val="0"/>
          <w:color w:val="auto"/>
          <w:highlight w:val="none"/>
        </w:rPr>
      </w:pPr>
      <w:r>
        <w:rPr>
          <w:rFonts w:hint="eastAsia" w:cs="宋体"/>
          <w:snapToGrid w:val="0"/>
          <w:color w:val="auto"/>
          <w:highlight w:val="none"/>
        </w:rPr>
        <w:t>2.乙方不得分包。</w:t>
      </w:r>
    </w:p>
    <w:p>
      <w:pPr>
        <w:ind w:firstLine="482" w:firstLineChars="200"/>
        <w:jc w:val="both"/>
        <w:rPr>
          <w:rFonts w:cs="宋体"/>
          <w:b/>
          <w:bCs/>
          <w:color w:val="auto"/>
          <w:highlight w:val="none"/>
        </w:rPr>
      </w:pPr>
      <w:r>
        <w:rPr>
          <w:rFonts w:hint="eastAsia" w:cs="宋体"/>
          <w:b/>
          <w:bCs/>
          <w:color w:val="auto"/>
          <w:highlight w:val="none"/>
        </w:rPr>
        <w:t>十八、违约责任</w:t>
      </w:r>
      <w:bookmarkEnd w:id="1278"/>
    </w:p>
    <w:p>
      <w:pPr>
        <w:ind w:firstLine="480" w:firstLineChars="200"/>
        <w:jc w:val="both"/>
        <w:rPr>
          <w:rFonts w:cs="宋体"/>
          <w:color w:val="auto"/>
          <w:highlight w:val="none"/>
        </w:rPr>
      </w:pPr>
      <w:bookmarkStart w:id="1279" w:name="_Toc28730"/>
      <w:r>
        <w:rPr>
          <w:rFonts w:hint="eastAsia" w:cs="宋体"/>
          <w:color w:val="auto"/>
          <w:highlight w:val="none"/>
        </w:rPr>
        <w:t>(一)甲方违约责任</w:t>
      </w:r>
    </w:p>
    <w:p>
      <w:pPr>
        <w:ind w:firstLine="480" w:firstLineChars="200"/>
        <w:jc w:val="both"/>
        <w:rPr>
          <w:rFonts w:cs="宋体"/>
          <w:color w:val="auto"/>
          <w:highlight w:val="none"/>
        </w:rPr>
      </w:pPr>
      <w:r>
        <w:rPr>
          <w:rFonts w:hint="eastAsia" w:cs="宋体"/>
          <w:color w:val="auto"/>
          <w:highlight w:val="none"/>
        </w:rPr>
        <w:t>1.甲方无正当理由拒收货物的，甲方应偿付合同总金额的百分之二十的违约金；</w:t>
      </w:r>
    </w:p>
    <w:p>
      <w:pPr>
        <w:ind w:firstLine="480" w:firstLineChars="200"/>
        <w:jc w:val="both"/>
        <w:rPr>
          <w:rFonts w:cs="宋体"/>
          <w:color w:val="auto"/>
          <w:highlight w:val="none"/>
        </w:rPr>
      </w:pPr>
      <w:r>
        <w:rPr>
          <w:rFonts w:hint="eastAsia" w:cs="宋体"/>
          <w:color w:val="auto"/>
          <w:highlight w:val="none"/>
        </w:rPr>
        <w:t>2.甲方故意逾期支付货款的，除应及时付足货款外，应向乙方偿付欠款总额万分之一/天的违约金，逾期违约金不得超过欠款总额的百分之二十。逾期付款超过20个日历天的，乙方有权终止合同；</w:t>
      </w:r>
    </w:p>
    <w:p>
      <w:pPr>
        <w:ind w:firstLine="480" w:firstLineChars="200"/>
        <w:jc w:val="both"/>
        <w:rPr>
          <w:rFonts w:cs="宋体"/>
          <w:color w:val="auto"/>
          <w:highlight w:val="none"/>
        </w:rPr>
      </w:pPr>
      <w:r>
        <w:rPr>
          <w:rFonts w:hint="eastAsia" w:cs="宋体"/>
          <w:color w:val="auto"/>
          <w:highlight w:val="none"/>
        </w:rPr>
        <w:t>非甲方故意逾期付款的，甲方不承担任何逾期付款责任，乙方也不得终止合同(说明：如因2021年年终财政关闭支付系统导致甲方在合同履行期间无法支付，则甲方不承担逾期支付责任，待2022年财政支付系统开通后支付)。</w:t>
      </w:r>
    </w:p>
    <w:p>
      <w:pPr>
        <w:ind w:firstLine="480" w:firstLineChars="200"/>
        <w:jc w:val="both"/>
        <w:rPr>
          <w:rFonts w:cs="宋体"/>
          <w:color w:val="auto"/>
          <w:highlight w:val="none"/>
        </w:rPr>
      </w:pPr>
      <w:r>
        <w:rPr>
          <w:rFonts w:hint="eastAsia" w:cs="宋体"/>
          <w:color w:val="auto"/>
          <w:highlight w:val="none"/>
        </w:rPr>
        <w:t>(二)乙方违约责任</w:t>
      </w:r>
    </w:p>
    <w:p>
      <w:pPr>
        <w:ind w:firstLine="480" w:firstLineChars="200"/>
        <w:jc w:val="both"/>
        <w:rPr>
          <w:rFonts w:cs="宋体"/>
          <w:color w:val="auto"/>
          <w:highlight w:val="none"/>
        </w:rPr>
      </w:pPr>
      <w:r>
        <w:rPr>
          <w:rFonts w:hint="eastAsia" w:cs="宋体"/>
          <w:color w:val="auto"/>
          <w:highlight w:val="none"/>
        </w:rPr>
        <w:t>1.乙方交付的货物质量不符合招标文件和投标文件规定的，乙方应在15个日历天内更换合格的产品给甲方。若乙方未在15个日历天内更换合格产品给甲方或更换后的产品仍不符合招标文件和投标文件的质量要求，视作乙方不能交付货物而违约，乙方按本条本款下述第“2”项规定向甲方支付违约金。</w:t>
      </w:r>
    </w:p>
    <w:p>
      <w:pPr>
        <w:ind w:firstLine="480" w:firstLineChars="200"/>
        <w:jc w:val="both"/>
        <w:rPr>
          <w:rFonts w:cs="宋体"/>
          <w:color w:val="auto"/>
          <w:highlight w:val="none"/>
        </w:rPr>
      </w:pPr>
      <w:r>
        <w:rPr>
          <w:rFonts w:hint="eastAsia" w:cs="宋体"/>
          <w:color w:val="auto"/>
          <w:highlight w:val="none"/>
        </w:rPr>
        <w:t>2. 乙方不能交付货物而违约的，本合同终止，乙方按合同总金额的百分之二十向甲方支付违约金和赔偿因此给甲方造成的全部损失，并且甲方不予退还乙方履约保证金 。</w:t>
      </w:r>
    </w:p>
    <w:p>
      <w:pPr>
        <w:ind w:firstLine="480" w:firstLineChars="200"/>
        <w:jc w:val="both"/>
        <w:rPr>
          <w:rFonts w:cs="宋体"/>
          <w:color w:val="auto"/>
          <w:highlight w:val="none"/>
        </w:rPr>
      </w:pPr>
      <w:r>
        <w:rPr>
          <w:rFonts w:hint="eastAsia" w:cs="宋体"/>
          <w:color w:val="auto"/>
          <w:highlight w:val="none"/>
        </w:rPr>
        <w:t>3.乙方逾期交付货物而违约的，除应及时交足货物外，还应向甲方偿付逾期交货部分货款总额的万分之一/天的违约金。逾期15个日历天未交付货物的，甲方有权终止合同，并要求乙方按合同总金额的百分之二十向甲方支付违约金和赔偿因此给甲方造成的全部损失，同时甲方不予退还乙方履约保证金。</w:t>
      </w:r>
    </w:p>
    <w:p>
      <w:pPr>
        <w:ind w:firstLine="480" w:firstLineChars="200"/>
        <w:jc w:val="both"/>
        <w:rPr>
          <w:rFonts w:cs="宋体"/>
          <w:color w:val="auto"/>
          <w:highlight w:val="none"/>
        </w:rPr>
      </w:pPr>
      <w:r>
        <w:rPr>
          <w:rFonts w:hint="eastAsia" w:cs="宋体"/>
          <w:color w:val="auto"/>
          <w:highlight w:val="none"/>
        </w:rPr>
        <w:t>4.乙方货物经甲方送交具有法定资格条件的质量技术监督机构检测后，如检测结果认定货物质量不符合招标文件和乙方投标文件规定标准的，则视为乙方没有按时交货而违约，乙方须在15个日历天内无条件更换合格的货物，如逾期不能更换合格的货物，甲方有权终止合同并要求乙方按合同总金额的百分之二十向甲方支付违约金和赔偿因此给甲方造成的全部损失，并且甲方不予退还乙方履约保证金。同时乙方须全额退还甲方已经支付给的货款及其利息。</w:t>
      </w:r>
    </w:p>
    <w:p>
      <w:pPr>
        <w:ind w:firstLine="480" w:firstLineChars="200"/>
        <w:jc w:val="both"/>
        <w:rPr>
          <w:rFonts w:cs="宋体"/>
          <w:color w:val="auto"/>
          <w:highlight w:val="none"/>
        </w:rPr>
      </w:pPr>
      <w:r>
        <w:rPr>
          <w:rFonts w:hint="eastAsia" w:cs="宋体"/>
          <w:color w:val="auto"/>
          <w:highlight w:val="none"/>
        </w:rPr>
        <w:t>5.乙方未按招标文件和乙方的投标文件约定的时间及要求提供售后服务的，甲方有权聘请第三方提供服务，由此产生的费用全部由乙方承担。售后服务期内售后服务合格率低于95%(合格服务次数/总服务次数)视为售后服务不合格，甲方不予返还乙方履约保证金，乙方还应按合同总金额的百分之二十向甲方支付违约金。</w:t>
      </w:r>
    </w:p>
    <w:p>
      <w:pPr>
        <w:ind w:firstLine="480" w:firstLineChars="200"/>
        <w:jc w:val="both"/>
        <w:rPr>
          <w:rFonts w:cs="宋体"/>
          <w:color w:val="auto"/>
          <w:highlight w:val="none"/>
        </w:rPr>
      </w:pPr>
      <w:r>
        <w:rPr>
          <w:rFonts w:hint="eastAsia" w:cs="宋体"/>
          <w:color w:val="auto"/>
          <w:highlight w:val="none"/>
        </w:rPr>
        <w:t>6.乙方应保证响应的货物的权利无瑕疵，包括货物所有权及知识产权等权利无瑕疵。如任何第三方经法院(或仲裁机构)裁决有权对上述货物主张权利或国家机关依法对货物进行没收查处的，如因专利权、商标权或其它知识产权而引起法律和经济纠纷，由乙方承担所有相关责任。甲方因此遭受的全部损失(包括但不限于因此向第三方支付的赔偿金、违约金等，以及因此支出的诉讼费用、律师费、保全费等)均由乙方承担。</w:t>
      </w:r>
    </w:p>
    <w:p>
      <w:pPr>
        <w:ind w:firstLine="480" w:firstLineChars="200"/>
        <w:jc w:val="both"/>
        <w:rPr>
          <w:rFonts w:cs="宋体"/>
          <w:color w:val="auto"/>
          <w:highlight w:val="none"/>
        </w:rPr>
      </w:pPr>
      <w:r>
        <w:rPr>
          <w:rFonts w:hint="eastAsia" w:cs="宋体"/>
          <w:color w:val="auto"/>
          <w:highlight w:val="none"/>
        </w:rPr>
        <w:t>7.若乙方提供虚假、作废发票或违反国家法律、法规开具或提供发票的，乙方自行承担全部法律责任，同时乙方还应按合同总金额的百分之二十向甲方支付违约金。</w:t>
      </w:r>
    </w:p>
    <w:p>
      <w:pPr>
        <w:ind w:firstLine="480" w:firstLineChars="200"/>
        <w:jc w:val="both"/>
        <w:rPr>
          <w:rFonts w:cs="宋体"/>
          <w:color w:val="auto"/>
          <w:highlight w:val="none"/>
        </w:rPr>
      </w:pPr>
      <w:r>
        <w:rPr>
          <w:rFonts w:hint="eastAsia" w:cs="宋体"/>
          <w:color w:val="auto"/>
          <w:highlight w:val="none"/>
        </w:rPr>
        <w:t>8.乙方支付的违约金不足以弥补甲方损失的，还应按甲方损失尚未弥补的部分,支付赔偿金给甲方。</w:t>
      </w:r>
    </w:p>
    <w:p>
      <w:pPr>
        <w:ind w:firstLine="482" w:firstLineChars="200"/>
        <w:rPr>
          <w:rFonts w:cs="宋体"/>
          <w:b/>
          <w:bCs/>
          <w:color w:val="auto"/>
          <w:highlight w:val="none"/>
        </w:rPr>
      </w:pPr>
      <w:r>
        <w:rPr>
          <w:rFonts w:hint="eastAsia" w:cs="宋体"/>
          <w:b/>
          <w:bCs/>
          <w:color w:val="auto"/>
          <w:highlight w:val="none"/>
        </w:rPr>
        <w:t>十九、解决争议的方法</w:t>
      </w:r>
    </w:p>
    <w:p>
      <w:pPr>
        <w:wordWrap w:val="0"/>
        <w:topLinePunct/>
        <w:ind w:firstLine="480" w:firstLineChars="200"/>
        <w:rPr>
          <w:rFonts w:cs="宋体"/>
          <w:snapToGrid w:val="0"/>
          <w:color w:val="auto"/>
          <w:highlight w:val="none"/>
        </w:rPr>
      </w:pPr>
      <w:r>
        <w:rPr>
          <w:rFonts w:hint="eastAsia" w:cs="宋体"/>
          <w:snapToGrid w:val="0"/>
          <w:color w:val="auto"/>
          <w:highlight w:val="none"/>
        </w:rPr>
        <w:t>1.因质量问题发生争议，由甲乙双方协商确定的第三方机构进行质量鉴定。质量符合标准的，鉴定费由甲方承担；不符合质量标准的，鉴定费由乙方承担。</w:t>
      </w:r>
    </w:p>
    <w:p>
      <w:pPr>
        <w:wordWrap w:val="0"/>
        <w:topLinePunct/>
        <w:ind w:firstLine="480" w:firstLineChars="200"/>
        <w:rPr>
          <w:rFonts w:cs="宋体"/>
          <w:snapToGrid w:val="0"/>
          <w:color w:val="auto"/>
          <w:highlight w:val="none"/>
        </w:rPr>
      </w:pPr>
      <w:r>
        <w:rPr>
          <w:rFonts w:hint="eastAsia" w:cs="宋体"/>
          <w:snapToGrid w:val="0"/>
          <w:color w:val="auto"/>
          <w:highlight w:val="none"/>
        </w:rPr>
        <w:t>2.履约期间,若双方发生争议，双方应通过友好协商解决，经协商不能达成协议时，应提交甲方所在地的人民法院诉讼。在诉讼期间，除正在进行诉讼的部分外，合同其他部分继续执行。</w:t>
      </w:r>
    </w:p>
    <w:p>
      <w:pPr>
        <w:ind w:firstLine="480" w:firstLineChars="200"/>
        <w:rPr>
          <w:rFonts w:cs="宋体"/>
          <w:color w:val="auto"/>
          <w:highlight w:val="none"/>
        </w:rPr>
      </w:pPr>
      <w:r>
        <w:rPr>
          <w:rFonts w:hint="eastAsia" w:cs="宋体"/>
          <w:color w:val="auto"/>
          <w:highlight w:val="none"/>
        </w:rPr>
        <w:t>3.除判决另有规定外，一切涉诉合理费用均由违约方承担。</w:t>
      </w:r>
    </w:p>
    <w:bookmarkEnd w:id="1279"/>
    <w:p>
      <w:pPr>
        <w:ind w:firstLine="482" w:firstLineChars="200"/>
        <w:jc w:val="both"/>
        <w:rPr>
          <w:rFonts w:cs="宋体"/>
          <w:b/>
          <w:bCs/>
          <w:color w:val="auto"/>
          <w:highlight w:val="none"/>
        </w:rPr>
      </w:pPr>
      <w:bookmarkStart w:id="1280" w:name="_Toc31185"/>
      <w:r>
        <w:rPr>
          <w:rFonts w:hint="eastAsia" w:cs="宋体"/>
          <w:b/>
          <w:bCs/>
          <w:color w:val="auto"/>
          <w:highlight w:val="none"/>
        </w:rPr>
        <w:t>二十、组成本合同的有关文件</w:t>
      </w:r>
      <w:bookmarkEnd w:id="1280"/>
    </w:p>
    <w:p>
      <w:pPr>
        <w:ind w:firstLine="480" w:firstLineChars="200"/>
        <w:jc w:val="both"/>
        <w:rPr>
          <w:rFonts w:cs="宋体"/>
          <w:color w:val="auto"/>
          <w:highlight w:val="none"/>
        </w:rPr>
      </w:pPr>
      <w:r>
        <w:rPr>
          <w:rFonts w:hint="eastAsia" w:cs="宋体"/>
          <w:color w:val="auto"/>
          <w:highlight w:val="none"/>
        </w:rPr>
        <w:t>下列关于成都市技师学院人才联合培养实训室采购项目(项目编号：XXXX)的招标文件、乙方的投标文件或与本次采购活动方式相适应的文件及有关附件是本合同不可分割的组成部分，与本合同具有同等法律效力，这些文件包括但不限于：</w:t>
      </w:r>
    </w:p>
    <w:p>
      <w:pPr>
        <w:ind w:firstLine="480" w:firstLineChars="200"/>
        <w:jc w:val="both"/>
        <w:rPr>
          <w:rFonts w:cs="宋体"/>
          <w:color w:val="auto"/>
          <w:highlight w:val="none"/>
        </w:rPr>
      </w:pPr>
      <w:r>
        <w:rPr>
          <w:rFonts w:hint="eastAsia" w:cs="宋体"/>
          <w:color w:val="auto"/>
          <w:highlight w:val="none"/>
        </w:rPr>
        <w:t>1.甲方的招标文件；</w:t>
      </w:r>
    </w:p>
    <w:p>
      <w:pPr>
        <w:ind w:firstLine="480" w:firstLineChars="200"/>
        <w:jc w:val="both"/>
        <w:rPr>
          <w:rFonts w:cs="宋体"/>
          <w:color w:val="auto"/>
          <w:highlight w:val="none"/>
        </w:rPr>
      </w:pPr>
      <w:r>
        <w:rPr>
          <w:rFonts w:hint="eastAsia" w:cs="宋体"/>
          <w:color w:val="auto"/>
          <w:highlight w:val="none"/>
        </w:rPr>
        <w:t>2.乙方的投标文件；</w:t>
      </w:r>
    </w:p>
    <w:p>
      <w:pPr>
        <w:ind w:firstLine="480" w:firstLineChars="200"/>
        <w:jc w:val="both"/>
        <w:rPr>
          <w:rFonts w:cs="宋体"/>
          <w:color w:val="auto"/>
          <w:highlight w:val="none"/>
        </w:rPr>
      </w:pPr>
      <w:r>
        <w:rPr>
          <w:rFonts w:hint="eastAsia" w:cs="宋体"/>
          <w:color w:val="auto"/>
          <w:highlight w:val="none"/>
        </w:rPr>
        <w:t>3.中标通知书；</w:t>
      </w:r>
    </w:p>
    <w:p>
      <w:pPr>
        <w:ind w:firstLine="480" w:firstLineChars="200"/>
        <w:jc w:val="both"/>
        <w:rPr>
          <w:rFonts w:cs="宋体"/>
          <w:color w:val="auto"/>
          <w:highlight w:val="none"/>
        </w:rPr>
      </w:pPr>
      <w:r>
        <w:rPr>
          <w:rFonts w:hint="eastAsia" w:cs="宋体"/>
          <w:color w:val="auto"/>
          <w:highlight w:val="none"/>
        </w:rPr>
        <w:t>4.甲乙双方商定的其他文件。</w:t>
      </w:r>
    </w:p>
    <w:p>
      <w:pPr>
        <w:ind w:firstLine="482" w:firstLineChars="200"/>
        <w:jc w:val="both"/>
        <w:rPr>
          <w:rFonts w:cs="宋体"/>
          <w:b/>
          <w:bCs/>
          <w:color w:val="auto"/>
          <w:highlight w:val="none"/>
        </w:rPr>
      </w:pPr>
      <w:bookmarkStart w:id="1281" w:name="_Toc16141"/>
      <w:r>
        <w:rPr>
          <w:rFonts w:hint="eastAsia" w:cs="宋体"/>
          <w:b/>
          <w:bCs/>
          <w:color w:val="auto"/>
          <w:highlight w:val="none"/>
        </w:rPr>
        <w:t>二十一、其他</w:t>
      </w:r>
      <w:bookmarkEnd w:id="1281"/>
    </w:p>
    <w:p>
      <w:pPr>
        <w:ind w:firstLine="480" w:firstLineChars="200"/>
        <w:jc w:val="both"/>
        <w:rPr>
          <w:rFonts w:cs="宋体"/>
          <w:color w:val="auto"/>
          <w:highlight w:val="none"/>
        </w:rPr>
      </w:pPr>
      <w:r>
        <w:rPr>
          <w:rFonts w:hint="eastAsia" w:cs="宋体"/>
          <w:color w:val="auto"/>
          <w:highlight w:val="none"/>
        </w:rPr>
        <w:t>1.乙方制定的售后服务方案、培训方案详见乙方响应文件。</w:t>
      </w:r>
    </w:p>
    <w:p>
      <w:pPr>
        <w:ind w:firstLine="480" w:firstLineChars="200"/>
        <w:rPr>
          <w:rFonts w:cs="宋体"/>
          <w:color w:val="auto"/>
          <w:highlight w:val="none"/>
        </w:rPr>
      </w:pPr>
      <w:r>
        <w:rPr>
          <w:rFonts w:hint="eastAsia" w:cs="宋体"/>
          <w:color w:val="auto"/>
          <w:highlight w:val="none"/>
        </w:rPr>
        <w:t>2.本合同自乙方缴纳履约保证金后，且合同经双方法定代表人或授权委托代理人签字并加盖章后生效。</w:t>
      </w:r>
    </w:p>
    <w:p>
      <w:pPr>
        <w:ind w:firstLine="480" w:firstLineChars="200"/>
        <w:jc w:val="both"/>
        <w:rPr>
          <w:rFonts w:cs="宋体"/>
          <w:color w:val="auto"/>
          <w:highlight w:val="none"/>
        </w:rPr>
      </w:pPr>
      <w:r>
        <w:rPr>
          <w:rFonts w:hint="eastAsia" w:cs="宋体"/>
          <w:color w:val="auto"/>
          <w:highlight w:val="none"/>
        </w:rPr>
        <w:t>3.本合同一式陆份，甲方伍份，乙方壹份，自双方签章之日起生效，均具有同等法律效力。</w:t>
      </w:r>
    </w:p>
    <w:p>
      <w:pPr>
        <w:ind w:firstLine="480" w:firstLineChars="200"/>
        <w:jc w:val="both"/>
        <w:rPr>
          <w:rFonts w:cs="宋体"/>
          <w:color w:val="auto"/>
          <w:highlight w:val="none"/>
        </w:rPr>
      </w:pPr>
      <w:r>
        <w:rPr>
          <w:rFonts w:hint="eastAsia" w:cs="宋体"/>
          <w:color w:val="auto"/>
          <w:highlight w:val="none"/>
        </w:rPr>
        <w:t>4.如本合同与甲方的招标文件、乙方的投标文件不一致时，以甲方的招标文件、乙方的投标文件为准。</w:t>
      </w:r>
    </w:p>
    <w:p>
      <w:pPr>
        <w:ind w:firstLine="480" w:firstLineChars="200"/>
        <w:jc w:val="both"/>
        <w:rPr>
          <w:rFonts w:cs="宋体"/>
          <w:color w:val="auto"/>
          <w:highlight w:val="none"/>
        </w:rPr>
      </w:pPr>
      <w:r>
        <w:rPr>
          <w:rFonts w:hint="eastAsia" w:cs="宋体"/>
          <w:color w:val="auto"/>
          <w:highlight w:val="none"/>
        </w:rPr>
        <w:t>5.如有未尽事宜，由双方依法订立补充合同，补充合同与本合同具有同等法律效力。</w:t>
      </w:r>
    </w:p>
    <w:p>
      <w:pPr>
        <w:ind w:firstLine="480" w:firstLineChars="200"/>
        <w:jc w:val="both"/>
        <w:rPr>
          <w:rFonts w:cs="宋体"/>
          <w:color w:val="auto"/>
          <w:sz w:val="28"/>
          <w:szCs w:val="28"/>
          <w:highlight w:val="none"/>
        </w:rPr>
      </w:pPr>
      <w:r>
        <w:rPr>
          <w:rFonts w:hint="eastAsia" w:cs="宋体"/>
          <w:color w:val="auto"/>
          <w:highlight w:val="none"/>
        </w:rPr>
        <w:t>6.本合同应按照中华人民共和国的现行法律进行解释。</w:t>
      </w:r>
      <w:bookmarkEnd w:id="1271"/>
      <w:bookmarkEnd w:id="1272"/>
    </w:p>
    <w:p>
      <w:pPr>
        <w:spacing w:after="120"/>
        <w:rPr>
          <w:rFonts w:cs="宋体"/>
          <w:color w:val="auto"/>
          <w:highlight w:val="none"/>
        </w:rPr>
      </w:pPr>
    </w:p>
    <w:p>
      <w:pPr>
        <w:pStyle w:val="42"/>
        <w:pageBreakBefore/>
        <w:spacing w:before="240" w:beforeLines="100" w:after="240" w:afterLines="100"/>
        <w:jc w:val="center"/>
        <w:rPr>
          <w:b/>
          <w:bCs/>
          <w:color w:val="auto"/>
          <w:highlight w:val="none"/>
        </w:rPr>
      </w:pPr>
      <w:r>
        <w:rPr>
          <w:rFonts w:hint="eastAsia"/>
          <w:b/>
          <w:bCs/>
          <w:color w:val="auto"/>
          <w:highlight w:val="none"/>
        </w:rPr>
        <w:t>(本页无正文)</w:t>
      </w:r>
    </w:p>
    <w:tbl>
      <w:tblPr>
        <w:tblStyle w:val="24"/>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1"/>
              <w:rPr>
                <w:color w:val="auto"/>
                <w:highlight w:val="none"/>
              </w:rPr>
            </w:pPr>
            <w:r>
              <w:rPr>
                <w:rFonts w:hint="eastAsia"/>
                <w:color w:val="auto"/>
                <w:highlight w:val="none"/>
              </w:rPr>
              <w:t>甲方：</w:t>
            </w:r>
            <w:r>
              <w:rPr>
                <w:rFonts w:hint="eastAsia" w:cs="宋体"/>
                <w:color w:val="auto"/>
                <w:highlight w:val="none"/>
              </w:rPr>
              <w:t>成都市技师学院</w:t>
            </w:r>
            <w:r>
              <w:rPr>
                <w:rFonts w:hint="eastAsia"/>
                <w:color w:val="auto"/>
                <w:highlight w:val="none"/>
              </w:rPr>
              <w:t xml:space="preserve"> (盖章)</w:t>
            </w:r>
          </w:p>
        </w:tc>
        <w:tc>
          <w:tcPr>
            <w:tcW w:w="4981" w:type="dxa"/>
            <w:vAlign w:val="center"/>
          </w:tcPr>
          <w:p>
            <w:pPr>
              <w:pStyle w:val="31"/>
              <w:rPr>
                <w:color w:val="auto"/>
                <w:highlight w:val="none"/>
              </w:rPr>
            </w:pPr>
            <w:r>
              <w:rPr>
                <w:rFonts w:hint="eastAsia"/>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1"/>
              <w:rPr>
                <w:color w:val="auto"/>
                <w:highlight w:val="none"/>
              </w:rPr>
            </w:pPr>
            <w:r>
              <w:rPr>
                <w:rFonts w:hint="eastAsia"/>
                <w:color w:val="auto"/>
                <w:highlight w:val="none"/>
              </w:rPr>
              <w:t>法定代表人(授权代表)：</w:t>
            </w:r>
          </w:p>
        </w:tc>
        <w:tc>
          <w:tcPr>
            <w:tcW w:w="4981" w:type="dxa"/>
            <w:vAlign w:val="center"/>
          </w:tcPr>
          <w:p>
            <w:pPr>
              <w:pStyle w:val="31"/>
              <w:rPr>
                <w:color w:val="auto"/>
                <w:highlight w:val="none"/>
              </w:rPr>
            </w:pPr>
            <w:r>
              <w:rPr>
                <w:rFonts w:hint="eastAsia"/>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1"/>
              <w:rPr>
                <w:color w:val="auto"/>
                <w:highlight w:val="none"/>
              </w:rPr>
            </w:pPr>
            <w:r>
              <w:rPr>
                <w:rFonts w:hint="eastAsia"/>
                <w:color w:val="auto"/>
                <w:highlight w:val="none"/>
              </w:rPr>
              <w:t>地址(住所)：</w:t>
            </w:r>
            <w:r>
              <w:rPr>
                <w:rFonts w:hint="eastAsia" w:cs="宋体"/>
                <w:color w:val="auto"/>
                <w:highlight w:val="none"/>
              </w:rPr>
              <w:t>成都市郫都区红光街道蒋桥路88号</w:t>
            </w:r>
          </w:p>
        </w:tc>
        <w:tc>
          <w:tcPr>
            <w:tcW w:w="4981" w:type="dxa"/>
            <w:vAlign w:val="center"/>
          </w:tcPr>
          <w:p>
            <w:pPr>
              <w:pStyle w:val="31"/>
              <w:rPr>
                <w:color w:val="auto"/>
                <w:highlight w:val="none"/>
              </w:rPr>
            </w:pPr>
            <w:r>
              <w:rPr>
                <w:rFonts w:hint="eastAsia"/>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1"/>
              <w:rPr>
                <w:color w:val="auto"/>
                <w:highlight w:val="none"/>
              </w:rPr>
            </w:pPr>
            <w:r>
              <w:rPr>
                <w:rFonts w:hint="eastAsia"/>
                <w:color w:val="auto"/>
                <w:highlight w:val="none"/>
              </w:rPr>
              <w:t>开户银行：</w:t>
            </w:r>
            <w:r>
              <w:rPr>
                <w:rFonts w:hint="eastAsia" w:cs="宋体"/>
                <w:color w:val="auto"/>
                <w:highlight w:val="none"/>
              </w:rPr>
              <w:t>工行成都红光支行</w:t>
            </w:r>
          </w:p>
        </w:tc>
        <w:tc>
          <w:tcPr>
            <w:tcW w:w="4981" w:type="dxa"/>
            <w:vAlign w:val="center"/>
          </w:tcPr>
          <w:p>
            <w:pPr>
              <w:pStyle w:val="31"/>
              <w:rPr>
                <w:color w:val="auto"/>
                <w:highlight w:val="none"/>
              </w:rPr>
            </w:pPr>
            <w:r>
              <w:rPr>
                <w:rFonts w:hint="eastAsia"/>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1"/>
              <w:rPr>
                <w:color w:val="auto"/>
                <w:highlight w:val="none"/>
              </w:rPr>
            </w:pPr>
            <w:r>
              <w:rPr>
                <w:rFonts w:hint="eastAsia"/>
                <w:color w:val="auto"/>
                <w:highlight w:val="none"/>
              </w:rPr>
              <w:t>账号：</w:t>
            </w:r>
            <w:r>
              <w:rPr>
                <w:rFonts w:hint="eastAsia" w:cs="宋体"/>
                <w:color w:val="auto"/>
                <w:highlight w:val="none"/>
              </w:rPr>
              <w:t>4402054609100031151</w:t>
            </w:r>
          </w:p>
        </w:tc>
        <w:tc>
          <w:tcPr>
            <w:tcW w:w="4981" w:type="dxa"/>
            <w:vAlign w:val="center"/>
          </w:tcPr>
          <w:p>
            <w:pPr>
              <w:pStyle w:val="31"/>
              <w:rPr>
                <w:color w:val="auto"/>
                <w:highlight w:val="none"/>
              </w:rPr>
            </w:pPr>
            <w:r>
              <w:rPr>
                <w:rFonts w:hint="eastAsia"/>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31"/>
              <w:rPr>
                <w:color w:val="auto"/>
                <w:highlight w:val="none"/>
              </w:rPr>
            </w:pPr>
            <w:r>
              <w:rPr>
                <w:rFonts w:hint="eastAsia"/>
                <w:color w:val="auto"/>
                <w:highlight w:val="none"/>
              </w:rPr>
              <w:t xml:space="preserve">电话： </w:t>
            </w:r>
          </w:p>
        </w:tc>
        <w:tc>
          <w:tcPr>
            <w:tcW w:w="4981" w:type="dxa"/>
            <w:vAlign w:val="center"/>
          </w:tcPr>
          <w:p>
            <w:pPr>
              <w:pStyle w:val="31"/>
              <w:rPr>
                <w:color w:val="auto"/>
                <w:highlight w:val="none"/>
              </w:rPr>
            </w:pPr>
            <w:r>
              <w:rPr>
                <w:rFonts w:hint="eastAsia"/>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31"/>
              <w:rPr>
                <w:color w:val="auto"/>
                <w:highlight w:val="none"/>
              </w:rPr>
            </w:pPr>
            <w:r>
              <w:rPr>
                <w:rFonts w:hint="eastAsia"/>
                <w:color w:val="auto"/>
                <w:highlight w:val="none"/>
              </w:rPr>
              <w:t>传真：</w:t>
            </w:r>
          </w:p>
        </w:tc>
        <w:tc>
          <w:tcPr>
            <w:tcW w:w="4981" w:type="dxa"/>
            <w:vAlign w:val="center"/>
          </w:tcPr>
          <w:p>
            <w:pPr>
              <w:pStyle w:val="31"/>
              <w:rPr>
                <w:color w:val="auto"/>
                <w:highlight w:val="none"/>
              </w:rPr>
            </w:pPr>
            <w:r>
              <w:rPr>
                <w:rFonts w:hint="eastAsia"/>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31"/>
              <w:rPr>
                <w:color w:val="auto"/>
                <w:highlight w:val="none"/>
              </w:rPr>
            </w:pPr>
            <w:r>
              <w:rPr>
                <w:rFonts w:hint="eastAsia"/>
                <w:color w:val="auto"/>
                <w:highlight w:val="none"/>
              </w:rPr>
              <w:t>签约日期：XX年XX月XX日</w:t>
            </w:r>
          </w:p>
        </w:tc>
        <w:tc>
          <w:tcPr>
            <w:tcW w:w="4981" w:type="dxa"/>
            <w:vAlign w:val="center"/>
          </w:tcPr>
          <w:p>
            <w:pPr>
              <w:pStyle w:val="31"/>
              <w:rPr>
                <w:color w:val="auto"/>
                <w:highlight w:val="none"/>
              </w:rPr>
            </w:pPr>
            <w:r>
              <w:rPr>
                <w:rFonts w:hint="eastAsia"/>
                <w:color w:val="auto"/>
                <w:highlight w:val="none"/>
              </w:rPr>
              <w:t>签约日期：XX年XX月XX日</w:t>
            </w:r>
          </w:p>
        </w:tc>
      </w:tr>
    </w:tbl>
    <w:p>
      <w:pPr>
        <w:pStyle w:val="31"/>
        <w:rPr>
          <w:color w:val="auto"/>
          <w:highlight w:val="none"/>
        </w:rPr>
      </w:pPr>
      <w:r>
        <w:rPr>
          <w:rFonts w:hint="eastAsia"/>
          <w:color w:val="auto"/>
          <w:highlight w:val="none"/>
        </w:rPr>
        <w:br w:type="page"/>
      </w:r>
    </w:p>
    <w:p>
      <w:pPr>
        <w:pStyle w:val="30"/>
        <w:numPr>
          <w:ilvl w:val="0"/>
          <w:numId w:val="11"/>
        </w:numPr>
        <w:spacing w:before="120" w:after="120"/>
        <w:rPr>
          <w:color w:val="auto"/>
          <w:highlight w:val="none"/>
        </w:rPr>
      </w:pPr>
      <w:bookmarkStart w:id="1282" w:name="_Toc28848"/>
      <w:bookmarkStart w:id="1283" w:name="_Toc18098"/>
      <w:r>
        <w:rPr>
          <w:rFonts w:hint="eastAsia"/>
          <w:color w:val="auto"/>
          <w:highlight w:val="none"/>
        </w:rPr>
        <w:t>附件</w:t>
      </w:r>
      <w:bookmarkEnd w:id="1282"/>
      <w:bookmarkEnd w:id="1283"/>
    </w:p>
    <w:p>
      <w:pPr>
        <w:pStyle w:val="31"/>
        <w:ind w:firstLine="482" w:firstLineChars="200"/>
        <w:jc w:val="both"/>
        <w:rPr>
          <w:rFonts w:cs="宋体"/>
          <w:b/>
          <w:bCs/>
          <w:color w:val="auto"/>
          <w:highlight w:val="none"/>
        </w:rPr>
      </w:pPr>
      <w:r>
        <w:rPr>
          <w:rFonts w:hint="eastAsia" w:cs="宋体"/>
          <w:b/>
          <w:bCs/>
          <w:color w:val="auto"/>
          <w:highlight w:val="none"/>
        </w:rPr>
        <w:t>附件一：政府采购云平台使用介绍</w:t>
      </w:r>
    </w:p>
    <w:p>
      <w:pPr>
        <w:adjustRightInd/>
        <w:snapToGrid/>
        <w:ind w:firstLine="482" w:firstLineChars="200"/>
        <w:jc w:val="both"/>
        <w:rPr>
          <w:rFonts w:cs="宋体"/>
          <w:b/>
          <w:bCs/>
          <w:color w:val="auto"/>
          <w:szCs w:val="32"/>
          <w:highlight w:val="none"/>
        </w:rPr>
      </w:pPr>
      <w:r>
        <w:rPr>
          <w:rFonts w:hint="eastAsia" w:cs="宋体"/>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hint="eastAsia" w:cs="宋体"/>
          <w:b/>
          <w:bCs/>
          <w:color w:val="auto"/>
          <w:szCs w:val="32"/>
          <w:highlight w:val="none"/>
          <w:u w:val="single"/>
        </w:rPr>
        <w:t>https：//www.zcygov.cn</w:t>
      </w:r>
      <w:r>
        <w:rPr>
          <w:rFonts w:hint="eastAsia" w:cs="宋体"/>
          <w:b/>
          <w:bCs/>
          <w:color w:val="auto"/>
          <w:szCs w:val="32"/>
          <w:highlight w:val="none"/>
          <w:u w:val="single"/>
        </w:rPr>
        <w:fldChar w:fldCharType="end"/>
      </w:r>
    </w:p>
    <w:p>
      <w:pPr>
        <w:adjustRightInd/>
        <w:snapToGrid/>
        <w:ind w:firstLine="482" w:firstLineChars="200"/>
        <w:jc w:val="both"/>
        <w:rPr>
          <w:rFonts w:cs="宋体"/>
          <w:b/>
          <w:bCs/>
          <w:color w:val="auto"/>
          <w:szCs w:val="32"/>
          <w:highlight w:val="none"/>
        </w:rPr>
      </w:pPr>
      <w:r>
        <w:rPr>
          <w:rFonts w:hint="eastAsia" w:cs="宋体"/>
          <w:b/>
          <w:bCs/>
          <w:color w:val="auto"/>
          <w:szCs w:val="32"/>
          <w:highlight w:val="none"/>
        </w:rPr>
        <w:t>2.选择与项目对应的行政区域如：四川省-成都市-成都市本级</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078855" cy="3801745"/>
            <wp:effectExtent l="0" t="0" r="1714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a:stretch>
                      <a:fillRect/>
                    </a:stretch>
                  </pic:blipFill>
                  <pic:spPr>
                    <a:xfrm>
                      <a:off x="0" y="0"/>
                      <a:ext cx="6078855" cy="3801745"/>
                    </a:xfrm>
                    <a:prstGeom prst="rect">
                      <a:avLst/>
                    </a:prstGeom>
                    <a:noFill/>
                    <a:ln>
                      <a:noFill/>
                    </a:ln>
                  </pic:spPr>
                </pic:pic>
              </a:graphicData>
            </a:graphic>
          </wp:inline>
        </w:drawing>
      </w:r>
    </w:p>
    <w:p>
      <w:pPr>
        <w:rPr>
          <w:rFonts w:cs="宋体"/>
          <w:b/>
          <w:bCs/>
          <w:color w:val="auto"/>
          <w:szCs w:val="32"/>
          <w:highlight w:val="none"/>
        </w:rPr>
      </w:pPr>
      <w:r>
        <w:rPr>
          <w:rFonts w:hint="eastAsia" w:cs="宋体"/>
          <w:b/>
          <w:bCs/>
          <w:color w:val="auto"/>
          <w:szCs w:val="32"/>
          <w:highlight w:val="none"/>
        </w:rPr>
        <w:br w:type="page"/>
      </w:r>
    </w:p>
    <w:p>
      <w:pPr>
        <w:adjustRightInd/>
        <w:snapToGrid/>
        <w:ind w:firstLine="482" w:firstLineChars="200"/>
        <w:jc w:val="both"/>
        <w:rPr>
          <w:rFonts w:cs="宋体"/>
          <w:b/>
          <w:bCs/>
          <w:color w:val="auto"/>
          <w:szCs w:val="32"/>
          <w:highlight w:val="none"/>
        </w:rPr>
      </w:pPr>
      <w:r>
        <w:rPr>
          <w:rFonts w:hint="eastAsia" w:cs="宋体"/>
          <w:b/>
          <w:bCs/>
          <w:color w:val="auto"/>
          <w:szCs w:val="32"/>
          <w:highlight w:val="none"/>
        </w:rPr>
        <w:t>3.点击操作指南-供应商</w:t>
      </w:r>
    </w:p>
    <w:p>
      <w:pPr>
        <w:wordWrap w:val="0"/>
        <w:adjustRightInd/>
        <w:snapToGrid/>
        <w:spacing w:line="360"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092825" cy="3155315"/>
            <wp:effectExtent l="0" t="0" r="317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3"/>
                    <a:stretch>
                      <a:fillRect/>
                    </a:stretch>
                  </pic:blipFill>
                  <pic:spPr>
                    <a:xfrm>
                      <a:off x="0" y="0"/>
                      <a:ext cx="6092825" cy="3155315"/>
                    </a:xfrm>
                    <a:prstGeom prst="rect">
                      <a:avLst/>
                    </a:prstGeom>
                    <a:noFill/>
                    <a:ln>
                      <a:noFill/>
                    </a:ln>
                  </pic:spPr>
                </pic:pic>
              </a:graphicData>
            </a:graphic>
          </wp:inline>
        </w:drawing>
      </w:r>
      <w:r>
        <w:rPr>
          <w:rFonts w:ascii="Calibri" w:hAnsi="Calibri" w:cs="Times New Roman"/>
          <w:color w:val="auto"/>
          <w:sz w:val="21"/>
          <w:highlight w:val="none"/>
        </w:rPr>
        <w:br w:type="page"/>
      </w:r>
    </w:p>
    <w:p>
      <w:pPr>
        <w:wordWrap w:val="0"/>
        <w:adjustRightInd/>
        <w:snapToGrid/>
        <w:spacing w:line="360" w:lineRule="auto"/>
        <w:ind w:firstLine="482" w:firstLineChars="200"/>
        <w:rPr>
          <w:rFonts w:ascii="Calibri" w:hAnsi="Calibri" w:cs="Times New Roman"/>
          <w:b/>
          <w:bCs/>
          <w:color w:val="auto"/>
          <w:sz w:val="21"/>
          <w:highlight w:val="none"/>
        </w:rPr>
      </w:pPr>
      <w:r>
        <w:rPr>
          <w:rFonts w:hint="eastAsia" w:cs="宋体"/>
          <w:b/>
          <w:bCs/>
          <w:color w:val="auto"/>
          <w:szCs w:val="32"/>
          <w:highlight w:val="none"/>
        </w:rPr>
        <w:t>4.进入政采云供应商学习专题页面(https：//edu.zcygov.cn/luban/xxzt-chengdu-gys?utm=a0017.b1347.cl50.5.0917bc90b7bb11eb807c353645758db6)</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99505" cy="3655060"/>
            <wp:effectExtent l="0" t="0" r="10795"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rcRect l="9837" r="5758"/>
                    <a:stretch>
                      <a:fillRect/>
                    </a:stretch>
                  </pic:blipFill>
                  <pic:spPr>
                    <a:xfrm>
                      <a:off x="0" y="0"/>
                      <a:ext cx="6199505" cy="3655060"/>
                    </a:xfrm>
                    <a:prstGeom prst="rect">
                      <a:avLst/>
                    </a:prstGeom>
                    <a:noFill/>
                    <a:ln>
                      <a:noFill/>
                    </a:ln>
                  </pic:spPr>
                </pic:pic>
              </a:graphicData>
            </a:graphic>
          </wp:inline>
        </w:drawing>
      </w:r>
    </w:p>
    <w:p>
      <w:pPr>
        <w:adjustRightInd/>
        <w:snapToGrid/>
        <w:spacing w:after="160" w:line="260" w:lineRule="auto"/>
        <w:ind w:firstLine="420" w:firstLineChars="200"/>
        <w:jc w:val="both"/>
        <w:rPr>
          <w:rFonts w:cs="宋体"/>
          <w:b/>
          <w:bCs/>
          <w:color w:val="auto"/>
          <w:szCs w:val="32"/>
          <w:highlight w:val="none"/>
        </w:rPr>
      </w:pPr>
      <w:r>
        <w:rPr>
          <w:rFonts w:hint="eastAsia" w:ascii="Calibri" w:hAnsi="Calibri" w:cs="Times New Roman"/>
          <w:color w:val="auto"/>
          <w:sz w:val="21"/>
          <w:highlight w:val="none"/>
        </w:rPr>
        <w:br w:type="page"/>
      </w:r>
      <w:r>
        <w:rPr>
          <w:rFonts w:hint="eastAsia" w:cs="宋体"/>
          <w:b/>
          <w:bCs/>
          <w:color w:val="auto"/>
          <w:szCs w:val="32"/>
          <w:highlight w:val="none"/>
        </w:rPr>
        <w:t>5.供应商资讯服务渠道</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204585" cy="2860675"/>
            <wp:effectExtent l="0" t="0" r="5715"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5"/>
                    <a:srcRect l="7241" r="2626"/>
                    <a:stretch>
                      <a:fillRect/>
                    </a:stretch>
                  </pic:blipFill>
                  <pic:spPr>
                    <a:xfrm>
                      <a:off x="0" y="0"/>
                      <a:ext cx="6204585" cy="2860675"/>
                    </a:xfrm>
                    <a:prstGeom prst="rect">
                      <a:avLst/>
                    </a:prstGeom>
                    <a:noFill/>
                    <a:ln>
                      <a:noFill/>
                    </a:ln>
                  </pic:spPr>
                </pic:pic>
              </a:graphicData>
            </a:graphic>
          </wp:inline>
        </w:drawing>
      </w:r>
    </w:p>
    <w:p>
      <w:pPr>
        <w:adjustRightInd/>
        <w:snapToGrid/>
        <w:spacing w:line="360" w:lineRule="auto"/>
        <w:ind w:firstLine="420" w:firstLineChars="200"/>
        <w:jc w:val="both"/>
        <w:rPr>
          <w:rFonts w:cs="宋体"/>
          <w:b/>
          <w:bCs/>
          <w:color w:val="auto"/>
          <w:szCs w:val="32"/>
          <w:highlight w:val="none"/>
        </w:rPr>
      </w:pPr>
      <w:r>
        <w:rPr>
          <w:rFonts w:ascii="Calibri" w:hAnsi="Calibri" w:cs="Times New Roman"/>
          <w:color w:val="auto"/>
          <w:sz w:val="21"/>
          <w:highlight w:val="none"/>
        </w:rPr>
        <w:br w:type="page"/>
      </w:r>
      <w:r>
        <w:rPr>
          <w:rFonts w:hint="eastAsia" w:cs="宋体"/>
          <w:b/>
          <w:bCs/>
          <w:color w:val="auto"/>
          <w:szCs w:val="32"/>
          <w:highlight w:val="none"/>
        </w:rPr>
        <w:t>6.入驻政府采购云平台(注册)</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37910" cy="2804795"/>
            <wp:effectExtent l="0" t="0" r="1524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6"/>
                    <a:srcRect l="10870"/>
                    <a:stretch>
                      <a:fillRect/>
                    </a:stretch>
                  </pic:blipFill>
                  <pic:spPr>
                    <a:xfrm>
                      <a:off x="0" y="0"/>
                      <a:ext cx="6137910" cy="2804795"/>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line="360" w:lineRule="auto"/>
        <w:ind w:firstLine="420" w:firstLineChars="200"/>
        <w:jc w:val="both"/>
        <w:rPr>
          <w:rFonts w:cs="宋体"/>
          <w:b/>
          <w:bCs/>
          <w:color w:val="auto"/>
          <w:szCs w:val="32"/>
          <w:highlight w:val="none"/>
        </w:rPr>
      </w:pPr>
      <w:r>
        <w:rPr>
          <w:rFonts w:ascii="Calibri" w:hAnsi="Calibri" w:cs="Times New Roman"/>
          <w:color w:val="auto"/>
          <w:sz w:val="21"/>
          <w:highlight w:val="none"/>
        </w:rPr>
        <w:br w:type="page"/>
      </w:r>
      <w:r>
        <w:rPr>
          <w:rFonts w:hint="eastAsia" w:cs="宋体"/>
          <w:b/>
          <w:bCs/>
          <w:color w:val="auto"/>
          <w:szCs w:val="32"/>
          <w:highlight w:val="none"/>
        </w:rPr>
        <w:t>7.下载《供应商政府采购项目电子交易操作指南》</w:t>
      </w:r>
    </w:p>
    <w:p>
      <w:pPr>
        <w:adjustRightInd/>
        <w:snapToGrid/>
        <w:spacing w:after="160" w:line="259" w:lineRule="auto"/>
        <w:jc w:val="center"/>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126480" cy="3394075"/>
            <wp:effectExtent l="0" t="0" r="7620" b="1587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7"/>
                    <a:stretch>
                      <a:fillRect/>
                    </a:stretch>
                  </pic:blipFill>
                  <pic:spPr>
                    <a:xfrm>
                      <a:off x="0" y="0"/>
                      <a:ext cx="6126480" cy="3394075"/>
                    </a:xfrm>
                    <a:prstGeom prst="rect">
                      <a:avLst/>
                    </a:prstGeom>
                    <a:noFill/>
                    <a:ln>
                      <a:noFill/>
                    </a:ln>
                  </pic:spPr>
                </pic:pic>
              </a:graphicData>
            </a:graphic>
          </wp:inline>
        </w:drawing>
      </w:r>
    </w:p>
    <w:p>
      <w:pPr>
        <w:keepNext/>
        <w:keepLines/>
        <w:rPr>
          <w:color w:val="auto"/>
          <w:highlight w:val="none"/>
        </w:rPr>
      </w:pPr>
    </w:p>
    <w:p>
      <w:pPr>
        <w:pStyle w:val="31"/>
        <w:jc w:val="both"/>
        <w:rPr>
          <w:rFonts w:cs="宋体"/>
          <w:b/>
          <w:bCs/>
          <w:color w:val="auto"/>
          <w:highlight w:val="none"/>
        </w:rPr>
      </w:pPr>
      <w:r>
        <w:rPr>
          <w:rFonts w:hint="eastAsia" w:cs="宋体"/>
          <w:b/>
          <w:bCs/>
          <w:color w:val="auto"/>
          <w:highlight w:val="none"/>
        </w:rPr>
        <w:br w:type="page"/>
      </w:r>
    </w:p>
    <w:p>
      <w:pPr>
        <w:pStyle w:val="31"/>
        <w:jc w:val="both"/>
        <w:rPr>
          <w:b/>
          <w:bCs/>
          <w:color w:val="auto"/>
          <w:sz w:val="36"/>
          <w:szCs w:val="36"/>
          <w:highlight w:val="none"/>
        </w:rPr>
      </w:pPr>
      <w:r>
        <w:rPr>
          <w:rFonts w:hint="eastAsia" w:cs="宋体"/>
          <w:b/>
          <w:bCs/>
          <w:color w:val="auto"/>
          <w:highlight w:val="none"/>
        </w:rPr>
        <w:t>附件二：《2021年度信用评价服务效果调查表(供应商)》</w:t>
      </w:r>
    </w:p>
    <w:p>
      <w:pPr>
        <w:pStyle w:val="31"/>
        <w:jc w:val="center"/>
        <w:rPr>
          <w:b/>
          <w:bCs/>
          <w:color w:val="auto"/>
          <w:sz w:val="36"/>
          <w:szCs w:val="36"/>
          <w:highlight w:val="none"/>
        </w:rPr>
      </w:pPr>
      <w:r>
        <w:rPr>
          <w:rFonts w:hint="eastAsia"/>
          <w:b/>
          <w:bCs/>
          <w:color w:val="auto"/>
          <w:sz w:val="36"/>
          <w:szCs w:val="36"/>
          <w:highlight w:val="none"/>
        </w:rPr>
        <w:t>2021年度信用评价服务效果调查表(供应商)</w:t>
      </w:r>
    </w:p>
    <w:p>
      <w:pPr>
        <w:pStyle w:val="31"/>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31"/>
        <w:rPr>
          <w:color w:val="auto"/>
          <w:highlight w:val="none"/>
          <w:u w:val="single"/>
        </w:rPr>
      </w:pPr>
      <w:r>
        <w:rPr>
          <w:rFonts w:hint="eastAsia"/>
          <w:color w:val="auto"/>
          <w:highlight w:val="none"/>
        </w:rPr>
        <w:t>项目编号：</w:t>
      </w:r>
      <w:r>
        <w:rPr>
          <w:rFonts w:hint="eastAsia"/>
          <w:color w:val="auto"/>
          <w:highlight w:val="none"/>
          <w:u w:val="single"/>
        </w:rPr>
        <w:t xml:space="preserve">                               </w:t>
      </w:r>
    </w:p>
    <w:p>
      <w:pPr>
        <w:pStyle w:val="31"/>
        <w:rPr>
          <w:color w:val="auto"/>
          <w:highlight w:val="none"/>
        </w:rPr>
      </w:pPr>
      <w:r>
        <w:rPr>
          <w:rFonts w:hint="eastAsia"/>
          <w:color w:val="auto"/>
          <w:highlight w:val="none"/>
        </w:rPr>
        <w:t>被评价代理机构名称：四川乾新招投标代理有限公司</w:t>
      </w:r>
    </w:p>
    <w:tbl>
      <w:tblPr>
        <w:tblStyle w:val="23"/>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 xml:space="preserve">满意 </w:t>
            </w:r>
          </w:p>
          <w:p>
            <w:pPr>
              <w:pStyle w:val="52"/>
              <w:rPr>
                <w:b/>
                <w:bCs/>
                <w:color w:val="auto"/>
                <w:highlight w:val="none"/>
              </w:rPr>
            </w:pPr>
            <w:r>
              <w:rPr>
                <w:rFonts w:hint="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 xml:space="preserve">基本满意 </w:t>
            </w:r>
          </w:p>
          <w:p>
            <w:pPr>
              <w:pStyle w:val="52"/>
              <w:rPr>
                <w:b/>
                <w:bCs/>
                <w:color w:val="auto"/>
                <w:highlight w:val="none"/>
              </w:rPr>
            </w:pPr>
            <w:r>
              <w:rPr>
                <w:rFonts w:hint="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 xml:space="preserve">一般 </w:t>
            </w:r>
          </w:p>
          <w:p>
            <w:pPr>
              <w:pStyle w:val="52"/>
              <w:rPr>
                <w:b/>
                <w:bCs/>
                <w:color w:val="auto"/>
                <w:highlight w:val="none"/>
              </w:rPr>
            </w:pPr>
            <w:r>
              <w:rPr>
                <w:rFonts w:hint="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不满意</w:t>
            </w:r>
          </w:p>
          <w:p>
            <w:pPr>
              <w:pStyle w:val="52"/>
              <w:rPr>
                <w:b/>
                <w:bCs/>
                <w:color w:val="auto"/>
                <w:highlight w:val="none"/>
              </w:rPr>
            </w:pPr>
            <w:r>
              <w:rPr>
                <w:rFonts w:hint="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r>
              <w:rPr>
                <w:rFonts w:hint="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2"/>
              <w:rPr>
                <w:b/>
                <w:bCs/>
                <w:color w:val="auto"/>
                <w:highlight w:val="none"/>
              </w:rPr>
            </w:pPr>
          </w:p>
        </w:tc>
      </w:tr>
      <w:tr>
        <w:tblPrEx>
          <w:tblCellMar>
            <w:top w:w="15" w:type="dxa"/>
            <w:left w:w="15" w:type="dxa"/>
            <w:bottom w:w="15" w:type="dxa"/>
            <w:right w:w="15" w:type="dxa"/>
          </w:tblCellMar>
        </w:tblPrEx>
        <w:trPr>
          <w:trHeight w:val="44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9"/>
              <w:rPr>
                <w:b/>
                <w:bCs/>
                <w:color w:val="auto"/>
                <w:highlight w:val="none"/>
              </w:rPr>
            </w:pPr>
            <w:r>
              <w:rPr>
                <w:rFonts w:hint="eastAsia"/>
                <w:b/>
                <w:bCs/>
                <w:color w:val="auto"/>
                <w:highlight w:val="none"/>
              </w:rPr>
              <w:t>对代理机构工作的其他建议：</w:t>
            </w: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rPr>
                <w:b/>
                <w:bCs/>
                <w:color w:val="auto"/>
                <w:highlight w:val="none"/>
              </w:rPr>
            </w:pPr>
          </w:p>
          <w:p>
            <w:pPr>
              <w:pStyle w:val="49"/>
              <w:ind w:firstLine="4427" w:firstLineChars="2100"/>
              <w:rPr>
                <w:b/>
                <w:bCs/>
                <w:color w:val="auto"/>
                <w:highlight w:val="none"/>
              </w:rPr>
            </w:pPr>
            <w:r>
              <w:rPr>
                <w:rFonts w:hint="eastAsia"/>
                <w:b/>
                <w:bCs/>
                <w:color w:val="auto"/>
                <w:highlight w:val="none"/>
              </w:rPr>
              <w:t>供应商名称：</w:t>
            </w:r>
            <w:r>
              <w:rPr>
                <w:rFonts w:hint="eastAsia"/>
                <w:b/>
                <w:bCs/>
                <w:color w:val="auto"/>
                <w:highlight w:val="none"/>
                <w:u w:val="single"/>
              </w:rPr>
              <w:t xml:space="preserve">                     </w:t>
            </w:r>
            <w:r>
              <w:rPr>
                <w:rFonts w:hint="eastAsia"/>
                <w:b/>
                <w:bCs/>
                <w:color w:val="auto"/>
                <w:highlight w:val="none"/>
              </w:rPr>
              <w:t>(加盖鲜章)</w:t>
            </w:r>
          </w:p>
        </w:tc>
      </w:tr>
    </w:tbl>
    <w:p>
      <w:pPr>
        <w:pStyle w:val="53"/>
        <w:ind w:firstLine="482"/>
        <w:rPr>
          <w:color w:val="auto"/>
          <w:highlight w:val="none"/>
        </w:rPr>
      </w:pPr>
      <w:r>
        <w:rPr>
          <w:rFonts w:hint="eastAsia"/>
          <w:color w:val="auto"/>
          <w:highlight w:val="none"/>
        </w:rPr>
        <w:t>说明：请贵公司根据政府采购代理机构2021年度政府采购项目的实际情况，在“满意”、“基本满意”、“一般”、“不满意”四个评价档次栏中选取一栏打“√”，并加盖鲜章。</w:t>
      </w:r>
    </w:p>
    <w:p>
      <w:pPr>
        <w:rPr>
          <w:color w:val="auto"/>
          <w:highlight w:val="none"/>
        </w:rPr>
      </w:pPr>
      <w:r>
        <w:rPr>
          <w:rFonts w:hint="eastAsia"/>
          <w:color w:val="auto"/>
          <w:highlight w:val="none"/>
        </w:rPr>
        <w:br w:type="page"/>
      </w:r>
    </w:p>
    <w:p>
      <w:pPr>
        <w:pStyle w:val="31"/>
        <w:jc w:val="both"/>
        <w:rPr>
          <w:rFonts w:cs="宋体"/>
          <w:b/>
          <w:bCs/>
          <w:color w:val="auto"/>
          <w:highlight w:val="none"/>
        </w:rPr>
      </w:pPr>
      <w:r>
        <w:rPr>
          <w:rFonts w:hint="eastAsia" w:cs="宋体"/>
          <w:b/>
          <w:bCs/>
          <w:color w:val="auto"/>
          <w:highlight w:val="none"/>
        </w:rPr>
        <w:t>附件三</w:t>
      </w:r>
    </w:p>
    <w:p>
      <w:pPr>
        <w:widowControl/>
        <w:spacing w:line="330" w:lineRule="atLeast"/>
        <w:jc w:val="center"/>
        <w:rPr>
          <w:rFonts w:cs="宋体"/>
          <w:color w:val="auto"/>
          <w:kern w:val="0"/>
          <w:sz w:val="32"/>
          <w:szCs w:val="32"/>
          <w:highlight w:val="none"/>
        </w:rPr>
      </w:pPr>
      <w:r>
        <w:rPr>
          <w:rFonts w:hint="eastAsia" w:cs="宋体"/>
          <w:color w:val="auto"/>
          <w:kern w:val="0"/>
          <w:sz w:val="32"/>
          <w:szCs w:val="32"/>
          <w:highlight w:val="none"/>
        </w:rPr>
        <w:t>统计上大中小微型企业划分标准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行业名称</w:t>
            </w:r>
          </w:p>
        </w:tc>
        <w:tc>
          <w:tcPr>
            <w:tcW w:w="72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指标名称</w:t>
            </w:r>
          </w:p>
        </w:tc>
        <w:tc>
          <w:tcPr>
            <w:tcW w:w="37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计量</w:t>
            </w:r>
          </w:p>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单位</w:t>
            </w:r>
          </w:p>
        </w:tc>
        <w:tc>
          <w:tcPr>
            <w:tcW w:w="59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大型</w:t>
            </w:r>
          </w:p>
        </w:tc>
        <w:tc>
          <w:tcPr>
            <w:tcW w:w="901"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中型</w:t>
            </w:r>
          </w:p>
        </w:tc>
        <w:tc>
          <w:tcPr>
            <w:tcW w:w="75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小型</w:t>
            </w:r>
          </w:p>
        </w:tc>
        <w:tc>
          <w:tcPr>
            <w:tcW w:w="525" w:type="pct"/>
            <w:vAlign w:val="center"/>
          </w:tcPr>
          <w:p>
            <w:pPr>
              <w:widowControl/>
              <w:spacing w:line="240" w:lineRule="atLeast"/>
              <w:jc w:val="center"/>
              <w:rPr>
                <w:rFonts w:cs="宋体"/>
                <w:b/>
                <w:bCs/>
                <w:color w:val="auto"/>
                <w:kern w:val="0"/>
                <w:sz w:val="15"/>
                <w:szCs w:val="15"/>
                <w:highlight w:val="none"/>
              </w:rPr>
            </w:pPr>
            <w:r>
              <w:rPr>
                <w:rFonts w:hint="eastAsia"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农、林、牧、渔业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50≤Y＜500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工业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2000≤Y＜40000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建筑业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Y≥80000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6000≤Y＜80000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300≤Y＜6000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Z≥80000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5000≤Z＜80000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300≤Z＜5000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批发业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20≤X＜200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5≤X＜20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5000≤Y＜40000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1000≤Y＜5000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零售业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50≤X＜300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10≤X＜50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spacing w:line="240" w:lineRule="atLeast"/>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100≤Y＜500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交通运输业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200≤Y＜3000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仓储业*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100≤X＜200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邮政业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2000≤Y＜30000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住宿业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餐饮业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信息传输业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X≥2000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100≤X＜2000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1000≤Y＜100000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120" w:type="pct"/>
            <w:vMerge w:val="restart"/>
            <w:vAlign w:val="center"/>
          </w:tcPr>
          <w:p>
            <w:pPr>
              <w:widowControl/>
              <w:spacing w:line="240" w:lineRule="atLeast"/>
              <w:rPr>
                <w:rFonts w:cs="宋体"/>
                <w:color w:val="auto"/>
                <w:spacing w:val="-12"/>
                <w:kern w:val="0"/>
                <w:sz w:val="15"/>
                <w:szCs w:val="15"/>
                <w:highlight w:val="none"/>
              </w:rPr>
            </w:pPr>
            <w:r>
              <w:rPr>
                <w:rFonts w:hint="eastAsia" w:cs="宋体"/>
                <w:color w:val="auto"/>
                <w:spacing w:val="-12"/>
                <w:kern w:val="0"/>
                <w:sz w:val="15"/>
                <w:szCs w:val="15"/>
                <w:highlight w:val="none"/>
              </w:rPr>
              <w:t>软件和信息技术服</w:t>
            </w:r>
            <w:r>
              <w:rPr>
                <w:rFonts w:hint="eastAsia" w:cs="宋体"/>
                <w:color w:val="auto"/>
                <w:kern w:val="0"/>
                <w:sz w:val="15"/>
                <w:szCs w:val="15"/>
                <w:highlight w:val="none"/>
              </w:rPr>
              <w:t>务业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120" w:type="pct"/>
            <w:vMerge w:val="continue"/>
            <w:vAlign w:val="center"/>
          </w:tcPr>
          <w:p>
            <w:pPr>
              <w:widowControl/>
              <w:spacing w:line="240" w:lineRule="atLeast"/>
              <w:rPr>
                <w:rFonts w:cs="宋体"/>
                <w:color w:val="auto"/>
                <w:spacing w:val="-12"/>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1000≤Y＜10000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房地产开发经营</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Y≥200000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1000≤Y＜200000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5000≤Z＜10000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2000≤Z＜5000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物业管理</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1000≤Y＜5000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500≤Y＜1000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1120" w:type="pct"/>
            <w:vMerge w:val="restar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租赁和商务服务业</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0" w:type="pct"/>
            <w:vMerge w:val="continue"/>
            <w:vAlign w:val="center"/>
          </w:tcPr>
          <w:p>
            <w:pPr>
              <w:widowControl/>
              <w:spacing w:line="240" w:lineRule="atLeast"/>
              <w:rPr>
                <w:rFonts w:cs="宋体"/>
                <w:color w:val="auto"/>
                <w:kern w:val="0"/>
                <w:sz w:val="15"/>
                <w:szCs w:val="15"/>
                <w:highlight w:val="none"/>
              </w:rPr>
            </w:pP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Z≥120000</w:t>
            </w:r>
          </w:p>
        </w:tc>
        <w:tc>
          <w:tcPr>
            <w:tcW w:w="901"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8000≤Z＜120000</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100≤Z＜8000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atLeast"/>
              <w:rPr>
                <w:rFonts w:cs="宋体"/>
                <w:color w:val="auto"/>
                <w:kern w:val="0"/>
                <w:sz w:val="15"/>
                <w:szCs w:val="15"/>
                <w:highlight w:val="none"/>
              </w:rPr>
            </w:pPr>
            <w:r>
              <w:rPr>
                <w:rFonts w:hint="eastAsia" w:cs="宋体"/>
                <w:color w:val="auto"/>
                <w:kern w:val="0"/>
                <w:sz w:val="15"/>
                <w:szCs w:val="15"/>
                <w:highlight w:val="none"/>
              </w:rPr>
              <w:t>其他未列明行业 *</w:t>
            </w:r>
          </w:p>
        </w:tc>
        <w:tc>
          <w:tcPr>
            <w:tcW w:w="7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spacing w:line="240" w:lineRule="atLeast"/>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spacing w:line="240" w:lineRule="atLeast"/>
              <w:jc w:val="center"/>
              <w:rPr>
                <w:rFonts w:cs="宋体"/>
                <w:color w:val="auto"/>
                <w:kern w:val="0"/>
                <w:sz w:val="15"/>
                <w:szCs w:val="15"/>
                <w:highlight w:val="none"/>
              </w:rPr>
            </w:pPr>
            <w:r>
              <w:rPr>
                <w:rFonts w:hint="eastAsia" w:cs="宋体"/>
                <w:color w:val="auto"/>
                <w:kern w:val="0"/>
                <w:sz w:val="15"/>
                <w:szCs w:val="15"/>
                <w:highlight w:val="none"/>
              </w:rPr>
              <w:t>X＜10</w:t>
            </w:r>
          </w:p>
        </w:tc>
      </w:tr>
    </w:tbl>
    <w:p>
      <w:pPr>
        <w:widowControl/>
        <w:adjustRightInd/>
        <w:snapToGrid/>
        <w:ind w:firstLine="512" w:firstLineChars="200"/>
        <w:rPr>
          <w:rFonts w:cs="宋体"/>
          <w:color w:val="auto"/>
          <w:spacing w:val="8"/>
          <w:kern w:val="0"/>
          <w:highlight w:val="none"/>
        </w:rPr>
      </w:pPr>
      <w:r>
        <w:rPr>
          <w:rFonts w:hint="eastAsia" w:cs="宋体"/>
          <w:color w:val="auto"/>
          <w:spacing w:val="8"/>
          <w:kern w:val="0"/>
          <w:highlight w:val="none"/>
        </w:rPr>
        <w:t>说明：</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color w:val="auto"/>
          <w:highlight w:val="none"/>
        </w:rPr>
      </w:pPr>
      <w:r>
        <w:rPr>
          <w:rFonts w:hint="eastAsia" w:cs="宋体"/>
          <w:color w:val="auto"/>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color w:val="auto"/>
          <w:highlight w:val="none"/>
        </w:rPr>
        <w:br w:type="page"/>
      </w:r>
    </w:p>
    <w:p>
      <w:pPr>
        <w:widowControl/>
        <w:adjustRightInd/>
        <w:snapToGrid/>
        <w:rPr>
          <w:b/>
          <w:bCs/>
          <w:color w:val="auto"/>
          <w:highlight w:val="none"/>
        </w:rPr>
      </w:pPr>
      <w:r>
        <w:rPr>
          <w:rFonts w:hint="eastAsia" w:cs="宋体"/>
          <w:b/>
          <w:bCs/>
          <w:color w:val="auto"/>
          <w:highlight w:val="none"/>
        </w:rPr>
        <w:t>附件四：</w:t>
      </w:r>
      <w:r>
        <w:rPr>
          <w:rFonts w:hint="eastAsia"/>
          <w:b/>
          <w:bCs/>
          <w:color w:val="auto"/>
          <w:highlight w:val="none"/>
        </w:rPr>
        <w:t>《四川省财政厅关于推进四川省政府采购供应商信用融资工作的通知》(川财采〔2018〕123号文)</w:t>
      </w:r>
    </w:p>
    <w:p>
      <w:pPr>
        <w:pStyle w:val="21"/>
        <w:widowControl/>
        <w:wordWrap w:val="0"/>
        <w:adjustRightInd/>
        <w:snapToGrid/>
        <w:spacing w:beforeAutospacing="0" w:afterAutospacing="0"/>
        <w:rPr>
          <w:rFonts w:cs="宋体"/>
          <w:b/>
          <w:bCs/>
          <w:color w:val="auto"/>
          <w:highlight w:val="none"/>
        </w:rPr>
      </w:pPr>
      <w:r>
        <w:rPr>
          <w:rFonts w:hint="eastAsia"/>
          <w:b/>
          <w:bCs/>
          <w:color w:val="auto"/>
          <w:highlight w:val="none"/>
        </w:rPr>
        <w:t>查询链接：</w:t>
      </w:r>
      <w:r>
        <w:rPr>
          <w:rFonts w:hint="eastAsia" w:cs="宋体"/>
          <w:b/>
          <w:bCs/>
          <w:color w:val="auto"/>
          <w:highlight w:val="none"/>
        </w:rPr>
        <w:t>http：//www.ccgp-sichuan.gov.cn/view/staticpags/sjzcfg/40288687657ff75501672fd954532414.html</w:t>
      </w:r>
    </w:p>
    <w:p>
      <w:pPr>
        <w:widowControl/>
        <w:adjustRightInd/>
        <w:snapToGrid/>
        <w:rPr>
          <w:color w:val="auto"/>
          <w:highlight w:val="none"/>
        </w:rPr>
      </w:pPr>
    </w:p>
    <w:p>
      <w:pPr>
        <w:widowControl/>
        <w:adjustRightInd/>
        <w:snapToGrid/>
        <w:spacing w:line="240" w:lineRule="auto"/>
        <w:jc w:val="center"/>
        <w:rPr>
          <w:rFonts w:cs="宋体"/>
          <w:color w:val="auto"/>
          <w:highlight w:val="none"/>
        </w:rPr>
      </w:pPr>
      <w:r>
        <w:rPr>
          <w:rFonts w:hint="eastAsia" w:cs="宋体"/>
          <w:color w:val="auto"/>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8"/>
                    <a:stretch>
                      <a:fillRect/>
                    </a:stretch>
                  </pic:blipFill>
                  <pic:spPr>
                    <a:xfrm>
                      <a:off x="0" y="0"/>
                      <a:ext cx="5302250" cy="1859915"/>
                    </a:xfrm>
                    <a:prstGeom prst="rect">
                      <a:avLst/>
                    </a:prstGeom>
                    <a:noFill/>
                    <a:ln w="9525">
                      <a:noFill/>
                    </a:ln>
                  </pic:spPr>
                </pic:pic>
              </a:graphicData>
            </a:graphic>
          </wp:inline>
        </w:drawing>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各市(州)、扩权县(市)财政局，各省直机关、事业单位、团体组织，各金融机构，各采购代理机构，各政府采购供应商：</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一、融资概念</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二、基本原则</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(一)财政引导，市场运行</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财政部门推进“政采贷”，银行和供应商按照自愿原则参与。供应商自愿选择是否申请“政采贷”，银行依据其内部审查制度和决策程序决定是否为供应商提供融资，自担风险。</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(二)建立机制，服务银企</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(三)优质优惠，加强扶持</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三、基本条件</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(一)银行暨“政采贷”金融产品</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1、征集。</w:t>
      </w:r>
      <w:r>
        <w:rPr>
          <w:rFonts w:hint="eastAsia" w:cs="宋体"/>
          <w:color w:val="auto"/>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申请材料应当包括银行基本情况、“政采贷”产品名称、申请贷款条件、申请贷款方式、申请贷款程序、贷款审查流程、贷款额度、发放贷款时间、收款方式及其他优质服务和优惠承诺等。</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银行提供的“政采贷”产品应当满足“无抵押担保、程序简便、利率优惠、放款及时”的基本条件以及本通知其他相关规定。</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银行申请材料中应当载明其自愿提供“政采贷”产品，自担风险，不得要求或者变相要求财政部门和采购人为其提供风险担保、承诺。</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2、公示。</w:t>
      </w:r>
      <w:r>
        <w:rPr>
          <w:rFonts w:hint="eastAsia" w:cs="宋体"/>
          <w:color w:val="auto"/>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政府采购供应商向银行申请“政采贷”，应当满足下列基本条件：</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w:t>
      </w:r>
      <w:r>
        <w:rPr>
          <w:rFonts w:hint="eastAsia" w:cs="宋体"/>
          <w:color w:val="auto"/>
          <w:highlight w:val="none"/>
        </w:rPr>
        <w:t>具有依法承担民事责任的能力；</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w:t>
      </w:r>
      <w:r>
        <w:rPr>
          <w:rFonts w:hint="eastAsia" w:cs="宋体"/>
          <w:color w:val="auto"/>
          <w:highlight w:val="none"/>
        </w:rPr>
        <w:t>具有依法履行政府采购合同的能力；</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3、</w:t>
      </w:r>
      <w:r>
        <w:rPr>
          <w:rFonts w:hint="eastAsia" w:cs="宋体"/>
          <w:color w:val="auto"/>
          <w:highlight w:val="none"/>
        </w:rPr>
        <w:t>参加的政府采购活动未被财政部门依法暂停、责令重新开展或者认定中标、成交无效；</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4、</w:t>
      </w:r>
      <w:r>
        <w:rPr>
          <w:rFonts w:hint="eastAsia" w:cs="宋体"/>
          <w:color w:val="auto"/>
          <w:highlight w:val="none"/>
        </w:rPr>
        <w:t>无《政府采购法》第二十二条第一款第(五)项所称的重大违法记录；</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5、</w:t>
      </w:r>
      <w:r>
        <w:rPr>
          <w:rFonts w:hint="eastAsia" w:cs="宋体"/>
          <w:color w:val="auto"/>
          <w:highlight w:val="none"/>
        </w:rPr>
        <w:t>未被法院、市场监管、税务、银行等部门单位纳入失信名单且在有效期内；</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6、</w:t>
      </w:r>
      <w:r>
        <w:rPr>
          <w:rFonts w:hint="eastAsia" w:cs="宋体"/>
          <w:color w:val="auto"/>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7、</w:t>
      </w:r>
      <w:r>
        <w:rPr>
          <w:rFonts w:hint="eastAsia" w:cs="宋体"/>
          <w:color w:val="auto"/>
          <w:highlight w:val="none"/>
        </w:rPr>
        <w:t>其他银行要求的不属于提供财产抵押或第三方担保的条件。</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四、构建平台</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四川省财政厅将在“四川政府采购网”统一构建四川省“政采贷”信息化服务平台，推进四川省“政采贷”工作信息化建设。</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五、财金互动</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六、基本流程</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(一)意向申请</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1"/>
        <w:widowControl/>
        <w:adjustRightInd/>
        <w:snapToGrid/>
        <w:spacing w:beforeAutospacing="0" w:afterAutospacing="0"/>
        <w:ind w:firstLine="482" w:firstLineChars="200"/>
        <w:rPr>
          <w:rFonts w:cs="宋体"/>
          <w:b/>
          <w:color w:val="auto"/>
          <w:highlight w:val="none"/>
        </w:rPr>
      </w:pPr>
      <w:r>
        <w:rPr>
          <w:rFonts w:hint="eastAsia" w:cs="宋体"/>
          <w:b/>
          <w:color w:val="auto"/>
          <w:highlight w:val="none"/>
        </w:rPr>
        <w:t>(二)正式申请</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(三)贷款审查</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(四)信息报送</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(五)资金支付</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政府采购资金支付过程中，银行需要查询采购资金支付进程有关信息的，财政部门和采购人应当支持。</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七、职责要求</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w:t>
      </w:r>
      <w:r>
        <w:rPr>
          <w:rFonts w:hint="eastAsia" w:cs="宋体"/>
          <w:color w:val="auto"/>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w:t>
      </w:r>
      <w:r>
        <w:rPr>
          <w:rFonts w:hint="eastAsia" w:cs="宋体"/>
          <w:color w:val="auto"/>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w:t>
      </w:r>
      <w:r>
        <w:rPr>
          <w:rFonts w:hint="eastAsia" w:cs="宋体"/>
          <w:color w:val="auto"/>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w:t>
      </w:r>
      <w:r>
        <w:rPr>
          <w:rFonts w:hint="eastAsia" w:cs="宋体"/>
          <w:color w:val="auto"/>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w:t>
      </w:r>
      <w:r>
        <w:rPr>
          <w:rFonts w:hint="eastAsia" w:cs="宋体"/>
          <w:color w:val="auto"/>
          <w:highlight w:val="none"/>
        </w:rPr>
        <w:t>供应商应当依法参加政府采购活动，公平竞争，诚实守信，严格按照政府采购合同履约，严格按照借款合同偿还债务。</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(六)</w:t>
      </w:r>
      <w:r>
        <w:rPr>
          <w:rFonts w:hint="eastAsia" w:cs="宋体"/>
          <w:color w:val="auto"/>
          <w:highlight w:val="none"/>
        </w:rPr>
        <w:t>财政部门、采购人、采购代理机构及其他有关单位和个人不得违规干预供应商选择“政采贷”银行及其产品，也不得违规干预银行向供应商进行贷款。</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(七)</w:t>
      </w:r>
      <w:r>
        <w:rPr>
          <w:rFonts w:hint="eastAsia" w:cs="宋体"/>
          <w:color w:val="auto"/>
          <w:highlight w:val="none"/>
        </w:rPr>
        <w:t>相关单位和个人在开展“政采贷”工作过程中，发现新问题、新情况或者有意见建议的，请及时向四川省财政厅反馈。</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八、违规处理</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(一)银行违规处理</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(二)供应商违规处理</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1"/>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(三)其他违规处理</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1"/>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 </w:t>
      </w:r>
    </w:p>
    <w:p>
      <w:pPr>
        <w:rPr>
          <w:rFonts w:cs="宋体"/>
          <w:color w:val="auto"/>
          <w:highlight w:val="none"/>
        </w:rPr>
      </w:pPr>
      <w:r>
        <w:rPr>
          <w:rFonts w:hint="eastAsia" w:cs="宋体"/>
          <w:color w:val="auto"/>
          <w:kern w:val="0"/>
          <w:highlight w:val="none"/>
        </w:rPr>
        <w:drawing>
          <wp:anchor distT="0" distB="0" distL="114300" distR="114300" simplePos="0" relativeHeight="251662336" behindDoc="0" locked="0" layoutInCell="1" allowOverlap="1">
            <wp:simplePos x="0" y="0"/>
            <wp:positionH relativeFrom="column">
              <wp:posOffset>3655695</wp:posOffset>
            </wp:positionH>
            <wp:positionV relativeFrom="paragraph">
              <wp:posOffset>1141730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9"/>
                    <a:stretch>
                      <a:fillRect/>
                    </a:stretch>
                  </pic:blipFill>
                  <pic:spPr>
                    <a:xfrm>
                      <a:off x="0" y="0"/>
                      <a:ext cx="1771650" cy="1781175"/>
                    </a:xfrm>
                    <a:prstGeom prst="rect">
                      <a:avLst/>
                    </a:prstGeom>
                    <a:noFill/>
                    <a:ln w="9525">
                      <a:noFill/>
                    </a:ln>
                  </pic:spPr>
                </pic:pic>
              </a:graphicData>
            </a:graphic>
          </wp:anchor>
        </w:drawing>
      </w:r>
      <w:r>
        <w:rPr>
          <w:rFonts w:hint="eastAsia" w:cs="宋体"/>
          <w:color w:val="auto"/>
          <w:highlight w:val="none"/>
        </w:rPr>
        <w:br w:type="page"/>
      </w:r>
    </w:p>
    <w:p>
      <w:pPr>
        <w:widowControl/>
        <w:adjustRightInd/>
        <w:snapToGrid/>
        <w:rPr>
          <w:rFonts w:cs="宋体"/>
          <w:b/>
          <w:bCs/>
          <w:color w:val="auto"/>
          <w:highlight w:val="none"/>
        </w:rPr>
      </w:pPr>
      <w:r>
        <w:rPr>
          <w:rFonts w:hint="eastAsia" w:cs="宋体"/>
          <w:b/>
          <w:bCs/>
          <w:color w:val="auto"/>
          <w:highlight w:val="none"/>
        </w:rPr>
        <w:t>附件四：成都市财政局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color w:val="auto"/>
          <w:highlight w:val="none"/>
        </w:rPr>
      </w:pPr>
      <w:r>
        <w:rPr>
          <w:rFonts w:hint="eastAsia" w:cs="宋体"/>
          <w:b/>
          <w:bCs/>
          <w:color w:val="auto"/>
          <w:highlight w:val="none"/>
        </w:rPr>
        <w:t>查询链接：</w:t>
      </w:r>
      <w:r>
        <w:rPr>
          <w:color w:val="auto"/>
          <w:highlight w:val="none"/>
        </w:rPr>
        <w:fldChar w:fldCharType="begin"/>
      </w:r>
      <w:r>
        <w:rPr>
          <w:color w:val="auto"/>
          <w:highlight w:val="none"/>
        </w:rPr>
        <w:instrText xml:space="preserve"> HYPERLINK "http://cdcz.chengdu.gov.cn/cdsczj/c116726/2019-03/13/content_7d81ae9c2a1e48968c7839a9c5b88ccd.shtml" </w:instrText>
      </w:r>
      <w:r>
        <w:rPr>
          <w:color w:val="auto"/>
          <w:highlight w:val="none"/>
        </w:rPr>
        <w:fldChar w:fldCharType="separate"/>
      </w:r>
      <w:r>
        <w:rPr>
          <w:rStyle w:val="28"/>
          <w:rFonts w:hint="eastAsia" w:cs="宋体"/>
          <w:b/>
          <w:bCs/>
          <w:color w:val="auto"/>
          <w:highlight w:val="none"/>
        </w:rPr>
        <w:t>http：//cdcz.chengdu.gov.cn/cdsczj/c116726/2019-03/13/content_7d81ae9c2a1e48968c7839a9c5b88ccd.shtml</w:t>
      </w:r>
      <w:r>
        <w:rPr>
          <w:rStyle w:val="28"/>
          <w:rFonts w:hint="eastAsia" w:cs="宋体"/>
          <w:b/>
          <w:bCs/>
          <w:color w:val="auto"/>
          <w:highlight w:val="none"/>
        </w:rPr>
        <w:fldChar w:fldCharType="end"/>
      </w:r>
    </w:p>
    <w:p>
      <w:pPr>
        <w:widowControl/>
        <w:wordWrap w:val="0"/>
        <w:adjustRightInd/>
        <w:snapToGrid/>
        <w:rPr>
          <w:rFonts w:cs="宋体"/>
          <w:b/>
          <w:bCs/>
          <w:color w:val="auto"/>
          <w:highlight w:val="none"/>
        </w:rPr>
      </w:pPr>
    </w:p>
    <w:tbl>
      <w:tblPr>
        <w:tblStyle w:val="23"/>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vAlign w:val="center"/>
          </w:tcPr>
          <w:p>
            <w:pPr>
              <w:spacing w:line="240" w:lineRule="auto"/>
              <w:jc w:val="center"/>
              <w:rPr>
                <w:rFonts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color w:val="auto"/>
                <w:sz w:val="66"/>
                <w:szCs w:val="66"/>
                <w:highlight w:val="none"/>
              </w:rPr>
            </w:pPr>
          </w:p>
        </w:tc>
      </w:tr>
    </w:tbl>
    <w:p>
      <w:pPr>
        <w:jc w:val="center"/>
        <w:rPr>
          <w:rFonts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ascii="方正小标宋_GBK" w:hAnsi="方正小标宋_GBK" w:eastAsia="方正小标宋_GBK"/>
          <w:color w:val="auto"/>
          <w:highlight w:val="none"/>
        </w:rPr>
      </w:pPr>
    </w:p>
    <w:p>
      <w:pPr>
        <w:topLinePunct/>
        <w:jc w:val="center"/>
        <w:rPr>
          <w:rFonts w:cs="宋体"/>
          <w:color w:val="auto"/>
          <w:sz w:val="32"/>
          <w:szCs w:val="32"/>
          <w:highlight w:val="none"/>
        </w:rPr>
      </w:pPr>
      <w:r>
        <w:rPr>
          <w:rFonts w:hint="eastAsia" w:cs="宋体"/>
          <w:color w:val="auto"/>
          <w:spacing w:val="-18"/>
          <w:sz w:val="32"/>
          <w:szCs w:val="32"/>
          <w:highlight w:val="none"/>
        </w:rPr>
        <w:t>成都市财政局  中国人民银行成都分行营业管理部</w:t>
      </w:r>
      <w:r>
        <w:rPr>
          <w:rFonts w:hint="eastAsia" w:cs="宋体"/>
          <w:color w:val="auto"/>
          <w:sz w:val="32"/>
          <w:szCs w:val="32"/>
          <w:highlight w:val="none"/>
        </w:rPr>
        <w:t>关于印发《成都市中小企业政府采购信用融资暂行办法》和《成都市级支持中小企业政府采购信用融资实施方案》的通知</w:t>
      </w:r>
    </w:p>
    <w:p>
      <w:pPr>
        <w:jc w:val="center"/>
        <w:rPr>
          <w:rFonts w:eastAsia="方正仿宋_GBK"/>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成都天府新区、高新区财政金融局，各区(市)县财政局，市级各部门、单位，各银行业金融机构：</w:t>
      </w:r>
    </w:p>
    <w:p>
      <w:pPr>
        <w:widowControl/>
        <w:adjustRightInd/>
        <w:snapToGrid/>
        <w:ind w:firstLine="480" w:firstLineChars="200"/>
        <w:rPr>
          <w:rFonts w:cs="宋体"/>
          <w:color w:val="auto"/>
          <w:highlight w:val="none"/>
        </w:rPr>
      </w:pPr>
      <w:r>
        <w:rPr>
          <w:rFonts w:hint="eastAsia" w:cs="宋体"/>
          <w:color w:val="auto"/>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color w:val="auto"/>
          <w:highlight w:val="none"/>
        </w:rPr>
      </w:pPr>
      <w:r>
        <w:rPr>
          <w:rFonts w:hint="eastAsia" w:cs="宋体"/>
          <w:color w:val="auto"/>
          <w:highlight w:val="none"/>
        </w:rPr>
        <w:t>一、高度重视、迅速行动</w:t>
      </w:r>
    </w:p>
    <w:p>
      <w:pPr>
        <w:widowControl/>
        <w:adjustRightInd/>
        <w:snapToGrid/>
        <w:ind w:firstLine="480" w:firstLineChars="200"/>
        <w:rPr>
          <w:rFonts w:cs="宋体"/>
          <w:color w:val="auto"/>
          <w:highlight w:val="none"/>
        </w:rPr>
      </w:pPr>
      <w:r>
        <w:rPr>
          <w:rFonts w:hint="eastAsia" w:cs="宋体"/>
          <w:color w:val="auto"/>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color w:val="auto"/>
          <w:highlight w:val="none"/>
        </w:rPr>
      </w:pPr>
      <w:r>
        <w:rPr>
          <w:rFonts w:hint="eastAsia" w:cs="宋体"/>
          <w:color w:val="auto"/>
          <w:highlight w:val="none"/>
        </w:rPr>
        <w:t>二、明确责任、压茬推进</w:t>
      </w:r>
    </w:p>
    <w:p>
      <w:pPr>
        <w:widowControl/>
        <w:adjustRightInd/>
        <w:snapToGrid/>
        <w:ind w:firstLine="480" w:firstLineChars="200"/>
        <w:rPr>
          <w:rFonts w:cs="宋体"/>
          <w:color w:val="auto"/>
          <w:highlight w:val="none"/>
        </w:rPr>
      </w:pPr>
      <w:r>
        <w:rPr>
          <w:rFonts w:hint="eastAsia" w:cs="宋体"/>
          <w:color w:val="auto"/>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color w:val="auto"/>
          <w:highlight w:val="none"/>
        </w:rPr>
      </w:pPr>
      <w:r>
        <w:rPr>
          <w:rFonts w:hint="eastAsia" w:cs="宋体"/>
          <w:color w:val="auto"/>
          <w:highlight w:val="none"/>
        </w:rPr>
        <w:t>三、优化服务、营造氛围</w:t>
      </w:r>
    </w:p>
    <w:p>
      <w:pPr>
        <w:widowControl/>
        <w:adjustRightInd/>
        <w:snapToGrid/>
        <w:ind w:firstLine="480" w:firstLineChars="200"/>
        <w:rPr>
          <w:rFonts w:cs="宋体"/>
          <w:color w:val="auto"/>
          <w:highlight w:val="none"/>
        </w:rPr>
      </w:pPr>
      <w:r>
        <w:rPr>
          <w:rFonts w:hint="eastAsia" w:cs="宋体"/>
          <w:color w:val="auto"/>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 xml:space="preserve">附件：1．成都市中小企业政府采购信用融资暂行办法 </w:t>
      </w:r>
    </w:p>
    <w:p>
      <w:pPr>
        <w:widowControl/>
        <w:adjustRightInd/>
        <w:snapToGrid/>
        <w:ind w:firstLine="480" w:firstLineChars="200"/>
        <w:rPr>
          <w:rFonts w:cs="宋体"/>
          <w:color w:val="auto"/>
          <w:highlight w:val="none"/>
        </w:rPr>
      </w:pPr>
      <w:r>
        <w:rPr>
          <w:rFonts w:hint="eastAsia" w:cs="宋体"/>
          <w:color w:val="auto"/>
          <w:highlight w:val="none"/>
        </w:rPr>
        <w:t>2．成都市级支持中小企业政府采购信用融资实施方案</w:t>
      </w:r>
    </w:p>
    <w:p>
      <w:pPr>
        <w:pStyle w:val="14"/>
        <w:widowControl/>
        <w:topLinePunct/>
        <w:adjustRightInd/>
        <w:snapToGrid/>
        <w:ind w:firstLine="480" w:firstLineChars="200"/>
        <w:rPr>
          <w:rFonts w:ascii="宋体" w:eastAsia="宋体" w:cs="宋体"/>
          <w:color w:val="auto"/>
          <w:sz w:val="24"/>
          <w:highlight w:val="none"/>
        </w:rPr>
      </w:pPr>
    </w:p>
    <w:p>
      <w:pPr>
        <w:pStyle w:val="14"/>
        <w:widowControl/>
        <w:topLinePunct/>
        <w:adjustRightInd/>
        <w:snapToGrid/>
        <w:ind w:firstLine="480" w:firstLineChars="200"/>
        <w:rPr>
          <w:rFonts w:ascii="宋体" w:eastAsia="宋体" w:cs="宋体"/>
          <w:color w:val="auto"/>
          <w:sz w:val="24"/>
          <w:highlight w:val="none"/>
        </w:rPr>
      </w:pPr>
    </w:p>
    <w:p>
      <w:pPr>
        <w:pStyle w:val="14"/>
        <w:widowControl/>
        <w:topLinePunct/>
        <w:adjustRightInd/>
        <w:snapToGrid/>
        <w:ind w:firstLine="480" w:firstLineChars="200"/>
        <w:rPr>
          <w:rFonts w:ascii="宋体" w:eastAsia="宋体" w:cs="宋体"/>
          <w:color w:val="auto"/>
          <w:sz w:val="24"/>
          <w:highlight w:val="none"/>
        </w:rPr>
      </w:pP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2019年2月26日</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附件1</w:t>
      </w:r>
    </w:p>
    <w:p>
      <w:pPr>
        <w:topLinePunct/>
        <w:adjustRightInd/>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成都市中小企业政府采购信用融资暂行办法</w:t>
      </w:r>
    </w:p>
    <w:p>
      <w:pPr>
        <w:topLinePunct/>
        <w:adjustRightInd/>
        <w:jc w:val="center"/>
        <w:rPr>
          <w:rFonts w:cs="宋体"/>
          <w:color w:val="auto"/>
          <w:highlight w:val="none"/>
        </w:rPr>
      </w:pPr>
      <w:r>
        <w:rPr>
          <w:rFonts w:hint="eastAsia" w:cs="宋体"/>
          <w:color w:val="auto"/>
          <w:highlight w:val="none"/>
        </w:rPr>
        <w:t>第一章  总  则</w:t>
      </w:r>
    </w:p>
    <w:p>
      <w:pPr>
        <w:topLinePunct/>
        <w:adjustRightInd/>
        <w:ind w:firstLine="480" w:firstLineChars="200"/>
        <w:rPr>
          <w:rFonts w:cs="宋体"/>
          <w:color w:val="auto"/>
          <w:highlight w:val="none"/>
        </w:rPr>
      </w:pPr>
      <w:r>
        <w:rPr>
          <w:rFonts w:hint="eastAsia" w:cs="宋体"/>
          <w:color w:val="auto"/>
          <w:highlight w:val="none"/>
        </w:rPr>
        <w:t>第一条(政策依据)</w:t>
      </w:r>
    </w:p>
    <w:p>
      <w:pPr>
        <w:topLinePunct/>
        <w:adjustRightInd/>
        <w:ind w:firstLine="480" w:firstLineChars="200"/>
        <w:rPr>
          <w:rFonts w:cs="宋体"/>
          <w:color w:val="auto"/>
          <w:highlight w:val="none"/>
        </w:rPr>
      </w:pPr>
      <w:r>
        <w:rPr>
          <w:rFonts w:hint="eastAsia" w:cs="宋体"/>
          <w:color w:val="auto"/>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color w:val="auto"/>
          <w:highlight w:val="none"/>
        </w:rPr>
      </w:pPr>
      <w:r>
        <w:rPr>
          <w:rFonts w:hint="eastAsia" w:cs="宋体"/>
          <w:color w:val="auto"/>
          <w:highlight w:val="none"/>
        </w:rPr>
        <w:t>第二条(适用范围)</w:t>
      </w:r>
    </w:p>
    <w:p>
      <w:pPr>
        <w:topLinePunct/>
        <w:adjustRightInd/>
        <w:ind w:firstLine="480" w:firstLineChars="200"/>
        <w:rPr>
          <w:rFonts w:cs="宋体"/>
          <w:color w:val="auto"/>
          <w:highlight w:val="none"/>
        </w:rPr>
      </w:pPr>
      <w:r>
        <w:rPr>
          <w:rFonts w:hint="eastAsia" w:cs="宋体"/>
          <w:color w:val="auto"/>
          <w:highlight w:val="none"/>
        </w:rPr>
        <w:t>成都市行政区域内政府采购信用融资适用本办法。</w:t>
      </w:r>
    </w:p>
    <w:p>
      <w:pPr>
        <w:topLinePunct/>
        <w:adjustRightInd/>
        <w:ind w:firstLine="480" w:firstLineChars="200"/>
        <w:rPr>
          <w:rFonts w:cs="宋体"/>
          <w:color w:val="auto"/>
          <w:highlight w:val="none"/>
        </w:rPr>
      </w:pPr>
      <w:r>
        <w:rPr>
          <w:rFonts w:hint="eastAsia" w:cs="宋体"/>
          <w:color w:val="auto"/>
          <w:highlight w:val="none"/>
        </w:rPr>
        <w:t>第三条(术语定义)</w:t>
      </w:r>
    </w:p>
    <w:p>
      <w:pPr>
        <w:topLinePunct/>
        <w:adjustRightInd/>
        <w:ind w:firstLine="480" w:firstLineChars="200"/>
        <w:rPr>
          <w:rFonts w:cs="宋体"/>
          <w:color w:val="auto"/>
          <w:highlight w:val="none"/>
        </w:rPr>
      </w:pPr>
      <w:r>
        <w:rPr>
          <w:rFonts w:hint="eastAsia" w:cs="宋体"/>
          <w:color w:val="auto"/>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color w:val="auto"/>
          <w:highlight w:val="none"/>
        </w:rPr>
      </w:pPr>
      <w:r>
        <w:rPr>
          <w:rFonts w:hint="eastAsia" w:cs="宋体"/>
          <w:color w:val="auto"/>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color w:val="auto"/>
          <w:highlight w:val="none"/>
        </w:rPr>
      </w:pPr>
      <w:r>
        <w:rPr>
          <w:rFonts w:hint="eastAsia" w:cs="宋体"/>
          <w:color w:val="auto"/>
          <w:highlight w:val="none"/>
        </w:rPr>
        <w:t>本办法所称中小企业，包括中型、小型及微型企业，其划型标准按照国家相关规定执行。</w:t>
      </w:r>
    </w:p>
    <w:p>
      <w:pPr>
        <w:topLinePunct/>
        <w:adjustRightInd/>
        <w:ind w:firstLine="480" w:firstLineChars="200"/>
        <w:rPr>
          <w:rFonts w:cs="宋体"/>
          <w:color w:val="auto"/>
          <w:highlight w:val="none"/>
        </w:rPr>
      </w:pPr>
      <w:r>
        <w:rPr>
          <w:rFonts w:hint="eastAsia" w:cs="宋体"/>
          <w:color w:val="auto"/>
          <w:highlight w:val="none"/>
        </w:rPr>
        <w:t>第四条(基本原则)</w:t>
      </w:r>
    </w:p>
    <w:p>
      <w:pPr>
        <w:topLinePunct/>
        <w:adjustRightInd/>
        <w:ind w:firstLine="480" w:firstLineChars="200"/>
        <w:rPr>
          <w:rFonts w:cs="宋体"/>
          <w:color w:val="auto"/>
          <w:highlight w:val="none"/>
        </w:rPr>
      </w:pPr>
      <w:r>
        <w:rPr>
          <w:rFonts w:hint="eastAsia" w:cs="宋体"/>
          <w:color w:val="auto"/>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color w:val="auto"/>
          <w:highlight w:val="none"/>
        </w:rPr>
      </w:pPr>
      <w:r>
        <w:rPr>
          <w:rFonts w:hint="eastAsia" w:cs="宋体"/>
          <w:color w:val="auto"/>
          <w:highlight w:val="none"/>
        </w:rPr>
        <w:t>第二章  融资优惠</w:t>
      </w:r>
    </w:p>
    <w:p>
      <w:pPr>
        <w:topLinePunct/>
        <w:adjustRightInd/>
        <w:ind w:firstLine="480" w:firstLineChars="200"/>
        <w:rPr>
          <w:rFonts w:cs="宋体"/>
          <w:color w:val="auto"/>
          <w:highlight w:val="none"/>
        </w:rPr>
      </w:pPr>
      <w:r>
        <w:rPr>
          <w:rFonts w:hint="eastAsia" w:cs="宋体"/>
          <w:color w:val="auto"/>
          <w:highlight w:val="none"/>
        </w:rPr>
        <w:t>第五条(融资方式)</w:t>
      </w:r>
    </w:p>
    <w:p>
      <w:pPr>
        <w:topLinePunct/>
        <w:adjustRightInd/>
        <w:ind w:firstLine="480" w:firstLineChars="200"/>
        <w:rPr>
          <w:rFonts w:cs="宋体"/>
          <w:color w:val="auto"/>
          <w:highlight w:val="none"/>
        </w:rPr>
      </w:pPr>
      <w:r>
        <w:rPr>
          <w:rFonts w:hint="eastAsia" w:cs="宋体"/>
          <w:color w:val="auto"/>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color w:val="auto"/>
          <w:highlight w:val="none"/>
        </w:rPr>
      </w:pPr>
      <w:r>
        <w:rPr>
          <w:rFonts w:hint="eastAsia" w:cs="宋体"/>
          <w:color w:val="auto"/>
          <w:highlight w:val="none"/>
        </w:rPr>
        <w:t>第六条(融资额度)</w:t>
      </w:r>
    </w:p>
    <w:p>
      <w:pPr>
        <w:topLinePunct/>
        <w:adjustRightInd/>
        <w:ind w:firstLine="480" w:firstLineChars="200"/>
        <w:rPr>
          <w:rFonts w:cs="宋体"/>
          <w:color w:val="auto"/>
          <w:highlight w:val="none"/>
        </w:rPr>
      </w:pPr>
      <w:r>
        <w:rPr>
          <w:rFonts w:hint="eastAsia" w:cs="宋体"/>
          <w:color w:val="auto"/>
          <w:highlight w:val="none"/>
        </w:rPr>
        <w:t>融资额度原则上不超过政府采购合同金额。</w:t>
      </w:r>
    </w:p>
    <w:p>
      <w:pPr>
        <w:topLinePunct/>
        <w:adjustRightInd/>
        <w:ind w:firstLine="480" w:firstLineChars="200"/>
        <w:rPr>
          <w:rFonts w:cs="宋体"/>
          <w:color w:val="auto"/>
          <w:highlight w:val="none"/>
        </w:rPr>
      </w:pPr>
      <w:r>
        <w:rPr>
          <w:rFonts w:hint="eastAsia" w:cs="宋体"/>
          <w:color w:val="auto"/>
          <w:highlight w:val="none"/>
        </w:rPr>
        <w:t>第七条(融资利率)</w:t>
      </w:r>
    </w:p>
    <w:p>
      <w:pPr>
        <w:topLinePunct/>
        <w:adjustRightInd/>
        <w:ind w:firstLine="480" w:firstLineChars="200"/>
        <w:rPr>
          <w:rFonts w:cs="宋体"/>
          <w:color w:val="auto"/>
          <w:highlight w:val="none"/>
        </w:rPr>
      </w:pPr>
      <w:r>
        <w:rPr>
          <w:rFonts w:hint="eastAsia" w:cs="宋体"/>
          <w:color w:val="auto"/>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color w:val="auto"/>
          <w:highlight w:val="none"/>
        </w:rPr>
      </w:pPr>
      <w:r>
        <w:rPr>
          <w:rFonts w:hint="eastAsia" w:cs="宋体"/>
          <w:color w:val="auto"/>
          <w:highlight w:val="none"/>
        </w:rPr>
        <w:t>第八条(融资期限)</w:t>
      </w:r>
    </w:p>
    <w:p>
      <w:pPr>
        <w:topLinePunct/>
        <w:adjustRightInd/>
        <w:ind w:firstLine="480" w:firstLineChars="200"/>
        <w:rPr>
          <w:rFonts w:cs="宋体"/>
          <w:color w:val="auto"/>
          <w:highlight w:val="none"/>
        </w:rPr>
      </w:pPr>
      <w:r>
        <w:rPr>
          <w:rFonts w:hint="eastAsia" w:cs="宋体"/>
          <w:color w:val="auto"/>
          <w:highlight w:val="none"/>
        </w:rPr>
        <w:t>融资期限原则上与政府采购合同履行期限一致。</w:t>
      </w:r>
    </w:p>
    <w:p>
      <w:pPr>
        <w:topLinePunct/>
        <w:adjustRightInd/>
        <w:ind w:firstLine="480" w:firstLineChars="200"/>
        <w:rPr>
          <w:rFonts w:cs="宋体"/>
          <w:color w:val="auto"/>
          <w:highlight w:val="none"/>
        </w:rPr>
      </w:pPr>
      <w:r>
        <w:rPr>
          <w:rFonts w:hint="eastAsia" w:cs="宋体"/>
          <w:color w:val="auto"/>
          <w:highlight w:val="none"/>
        </w:rPr>
        <w:t>第九条(融资效率)</w:t>
      </w:r>
    </w:p>
    <w:p>
      <w:pPr>
        <w:topLinePunct/>
        <w:adjustRightInd/>
        <w:ind w:firstLine="480" w:firstLineChars="200"/>
        <w:rPr>
          <w:rFonts w:cs="宋体"/>
          <w:color w:val="auto"/>
          <w:highlight w:val="none"/>
        </w:rPr>
      </w:pPr>
      <w:r>
        <w:rPr>
          <w:rFonts w:hint="eastAsia" w:cs="宋体"/>
          <w:color w:val="auto"/>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color w:val="auto"/>
          <w:highlight w:val="none"/>
        </w:rPr>
      </w:pPr>
      <w:r>
        <w:rPr>
          <w:rFonts w:hint="eastAsia" w:cs="宋体"/>
          <w:color w:val="auto"/>
          <w:highlight w:val="none"/>
        </w:rPr>
        <w:t>第十条(融资业务升级)</w:t>
      </w:r>
    </w:p>
    <w:p>
      <w:pPr>
        <w:topLinePunct/>
        <w:adjustRightInd/>
        <w:ind w:firstLine="480" w:firstLineChars="200"/>
        <w:rPr>
          <w:rFonts w:cs="宋体"/>
          <w:color w:val="auto"/>
          <w:highlight w:val="none"/>
        </w:rPr>
      </w:pPr>
      <w:r>
        <w:rPr>
          <w:rFonts w:hint="eastAsia" w:cs="宋体"/>
          <w:color w:val="auto"/>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color w:val="auto"/>
          <w:highlight w:val="none"/>
        </w:rPr>
      </w:pPr>
      <w:r>
        <w:rPr>
          <w:rFonts w:hint="eastAsia" w:cs="宋体"/>
          <w:color w:val="auto"/>
          <w:highlight w:val="none"/>
        </w:rPr>
        <w:t>第十一条(贷款风险补贴)</w:t>
      </w:r>
    </w:p>
    <w:p>
      <w:pPr>
        <w:topLinePunct/>
        <w:adjustRightInd/>
        <w:ind w:firstLine="480" w:firstLineChars="200"/>
        <w:rPr>
          <w:rFonts w:cs="宋体"/>
          <w:color w:val="auto"/>
          <w:highlight w:val="none"/>
        </w:rPr>
      </w:pPr>
      <w:r>
        <w:rPr>
          <w:rFonts w:hint="eastAsia" w:cs="宋体"/>
          <w:color w:val="auto"/>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color w:val="auto"/>
          <w:highlight w:val="none"/>
        </w:rPr>
      </w:pPr>
      <w:r>
        <w:rPr>
          <w:rFonts w:hint="eastAsia" w:cs="宋体"/>
          <w:color w:val="auto"/>
          <w:highlight w:val="none"/>
        </w:rPr>
        <w:t>第三章  融资流程</w:t>
      </w:r>
    </w:p>
    <w:p>
      <w:pPr>
        <w:topLinePunct/>
        <w:adjustRightInd/>
        <w:ind w:firstLine="480" w:firstLineChars="200"/>
        <w:rPr>
          <w:rFonts w:cs="宋体"/>
          <w:color w:val="auto"/>
          <w:highlight w:val="none"/>
        </w:rPr>
      </w:pPr>
      <w:r>
        <w:rPr>
          <w:rFonts w:hint="eastAsia" w:cs="宋体"/>
          <w:color w:val="auto"/>
          <w:highlight w:val="none"/>
        </w:rPr>
        <w:t>第十二条(融资流程)</w:t>
      </w:r>
    </w:p>
    <w:p>
      <w:pPr>
        <w:topLinePunct/>
        <w:adjustRightInd/>
        <w:ind w:firstLine="480" w:firstLineChars="200"/>
        <w:rPr>
          <w:rFonts w:cs="宋体"/>
          <w:color w:val="auto"/>
          <w:highlight w:val="none"/>
        </w:rPr>
      </w:pPr>
      <w:r>
        <w:rPr>
          <w:rFonts w:hint="eastAsia" w:cs="宋体"/>
          <w:color w:val="auto"/>
          <w:highlight w:val="none"/>
        </w:rPr>
        <w:t>(一)信息发布。采购人应当在发布的采购公告和采购文件中载明采购项目可提供信用融资的信息。</w:t>
      </w:r>
    </w:p>
    <w:p>
      <w:pPr>
        <w:topLinePunct/>
        <w:adjustRightInd/>
        <w:ind w:firstLine="480" w:firstLineChars="200"/>
        <w:rPr>
          <w:rFonts w:cs="宋体"/>
          <w:color w:val="auto"/>
          <w:highlight w:val="none"/>
        </w:rPr>
      </w:pPr>
      <w:r>
        <w:rPr>
          <w:rFonts w:hint="eastAsia" w:cs="宋体"/>
          <w:color w:val="auto"/>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color w:val="auto"/>
          <w:highlight w:val="none"/>
        </w:rPr>
      </w:pPr>
      <w:r>
        <w:rPr>
          <w:rFonts w:hint="eastAsia" w:cs="宋体"/>
          <w:color w:val="auto"/>
          <w:highlight w:val="none"/>
        </w:rPr>
        <w:t>(三)融资审查。融资机构对供应商的融资申请进行审查，并向供应商反馈审查及融资额度等情况。</w:t>
      </w:r>
    </w:p>
    <w:p>
      <w:pPr>
        <w:topLinePunct/>
        <w:adjustRightInd/>
        <w:ind w:firstLine="480" w:firstLineChars="200"/>
        <w:rPr>
          <w:rFonts w:cs="宋体"/>
          <w:color w:val="auto"/>
          <w:highlight w:val="none"/>
        </w:rPr>
      </w:pPr>
      <w:r>
        <w:rPr>
          <w:rFonts w:hint="eastAsia" w:cs="宋体"/>
          <w:color w:val="auto"/>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color w:val="auto"/>
          <w:highlight w:val="none"/>
        </w:rPr>
      </w:pPr>
      <w:r>
        <w:rPr>
          <w:rFonts w:hint="eastAsia" w:cs="宋体"/>
          <w:color w:val="auto"/>
          <w:highlight w:val="none"/>
        </w:rPr>
        <w:t>(五)放款。融资机构对政府采购合同及融资相关信息进行确认，并向供应商提供相应的融资产品。</w:t>
      </w:r>
    </w:p>
    <w:p>
      <w:pPr>
        <w:topLinePunct/>
        <w:adjustRightInd/>
        <w:ind w:firstLine="480" w:firstLineChars="200"/>
        <w:rPr>
          <w:rFonts w:cs="宋体"/>
          <w:color w:val="auto"/>
          <w:highlight w:val="none"/>
        </w:rPr>
      </w:pPr>
      <w:r>
        <w:rPr>
          <w:rFonts w:hint="eastAsia" w:cs="宋体"/>
          <w:color w:val="auto"/>
          <w:highlight w:val="none"/>
        </w:rPr>
        <w:t>(六)贷款归还。采购人按相关规定和合同约定将合同资金支付至约定的唯一收款账户。</w:t>
      </w:r>
    </w:p>
    <w:p>
      <w:pPr>
        <w:topLinePunct/>
        <w:adjustRightInd/>
        <w:ind w:firstLine="480" w:firstLineChars="200"/>
        <w:jc w:val="center"/>
        <w:rPr>
          <w:rFonts w:cs="宋体"/>
          <w:color w:val="auto"/>
          <w:highlight w:val="none"/>
        </w:rPr>
      </w:pPr>
      <w:r>
        <w:rPr>
          <w:rFonts w:hint="eastAsia" w:cs="宋体"/>
          <w:color w:val="auto"/>
          <w:highlight w:val="none"/>
        </w:rPr>
        <w:t>第四章  职责分工</w:t>
      </w:r>
    </w:p>
    <w:p>
      <w:pPr>
        <w:topLinePunct/>
        <w:adjustRightInd/>
        <w:ind w:firstLine="480" w:firstLineChars="200"/>
        <w:rPr>
          <w:rFonts w:cs="宋体"/>
          <w:color w:val="auto"/>
          <w:highlight w:val="none"/>
        </w:rPr>
      </w:pPr>
      <w:r>
        <w:rPr>
          <w:rFonts w:hint="eastAsia" w:cs="宋体"/>
          <w:color w:val="auto"/>
          <w:highlight w:val="none"/>
        </w:rPr>
        <w:t>第十三条(财政部门职责)</w:t>
      </w:r>
    </w:p>
    <w:p>
      <w:pPr>
        <w:topLinePunct/>
        <w:adjustRightInd/>
        <w:ind w:firstLine="480" w:firstLineChars="200"/>
        <w:rPr>
          <w:rFonts w:cs="宋体"/>
          <w:color w:val="auto"/>
          <w:highlight w:val="none"/>
        </w:rPr>
      </w:pPr>
      <w:r>
        <w:rPr>
          <w:rFonts w:hint="eastAsia" w:cs="宋体"/>
          <w:color w:val="auto"/>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color w:val="auto"/>
          <w:highlight w:val="none"/>
        </w:rPr>
      </w:pPr>
      <w:r>
        <w:rPr>
          <w:rFonts w:hint="eastAsia" w:cs="宋体"/>
          <w:color w:val="auto"/>
          <w:highlight w:val="none"/>
        </w:rPr>
        <w:t>第十四条(融资机构主管部门职责)</w:t>
      </w:r>
    </w:p>
    <w:p>
      <w:pPr>
        <w:topLinePunct/>
        <w:adjustRightInd/>
        <w:ind w:firstLine="480" w:firstLineChars="200"/>
        <w:rPr>
          <w:rFonts w:cs="宋体"/>
          <w:color w:val="auto"/>
          <w:highlight w:val="none"/>
        </w:rPr>
      </w:pPr>
      <w:r>
        <w:rPr>
          <w:rFonts w:hint="eastAsia" w:cs="宋体"/>
          <w:color w:val="auto"/>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color w:val="auto"/>
          <w:highlight w:val="none"/>
        </w:rPr>
      </w:pPr>
      <w:r>
        <w:rPr>
          <w:rFonts w:hint="eastAsia" w:cs="宋体"/>
          <w:color w:val="auto"/>
          <w:highlight w:val="none"/>
        </w:rPr>
        <w:t>第十五条(采购人职责)</w:t>
      </w:r>
    </w:p>
    <w:p>
      <w:pPr>
        <w:topLinePunct/>
        <w:adjustRightInd/>
        <w:ind w:firstLine="480" w:firstLineChars="200"/>
        <w:rPr>
          <w:rFonts w:cs="宋体"/>
          <w:color w:val="auto"/>
          <w:highlight w:val="none"/>
        </w:rPr>
      </w:pPr>
      <w:r>
        <w:rPr>
          <w:rFonts w:hint="eastAsia" w:cs="宋体"/>
          <w:color w:val="auto"/>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color w:val="auto"/>
          <w:highlight w:val="none"/>
        </w:rPr>
      </w:pPr>
      <w:r>
        <w:rPr>
          <w:rFonts w:hint="eastAsia" w:cs="宋体"/>
          <w:color w:val="auto"/>
          <w:highlight w:val="none"/>
        </w:rPr>
        <w:t>第十六条(融资机构职责)</w:t>
      </w:r>
    </w:p>
    <w:p>
      <w:pPr>
        <w:topLinePunct/>
        <w:adjustRightInd/>
        <w:ind w:firstLine="480" w:firstLineChars="200"/>
        <w:rPr>
          <w:rFonts w:cs="宋体"/>
          <w:color w:val="auto"/>
          <w:highlight w:val="none"/>
        </w:rPr>
      </w:pPr>
      <w:r>
        <w:rPr>
          <w:rFonts w:hint="eastAsia" w:cs="宋体"/>
          <w:color w:val="auto"/>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color w:val="auto"/>
          <w:highlight w:val="none"/>
        </w:rPr>
      </w:pPr>
      <w:r>
        <w:rPr>
          <w:rFonts w:hint="eastAsia" w:cs="宋体"/>
          <w:color w:val="auto"/>
          <w:highlight w:val="none"/>
        </w:rPr>
        <w:t>第十七条(供应商职责)</w:t>
      </w:r>
    </w:p>
    <w:p>
      <w:pPr>
        <w:topLinePunct/>
        <w:adjustRightInd/>
        <w:ind w:firstLine="480" w:firstLineChars="200"/>
        <w:rPr>
          <w:rFonts w:cs="宋体"/>
          <w:color w:val="auto"/>
          <w:highlight w:val="none"/>
        </w:rPr>
      </w:pPr>
      <w:r>
        <w:rPr>
          <w:rFonts w:hint="eastAsia" w:cs="宋体"/>
          <w:color w:val="auto"/>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color w:val="auto"/>
          <w:highlight w:val="none"/>
        </w:rPr>
      </w:pPr>
      <w:r>
        <w:rPr>
          <w:rFonts w:hint="eastAsia" w:cs="宋体"/>
          <w:color w:val="auto"/>
          <w:highlight w:val="none"/>
        </w:rPr>
        <w:t>第五章 监督管理</w:t>
      </w:r>
    </w:p>
    <w:p>
      <w:pPr>
        <w:topLinePunct/>
        <w:adjustRightInd/>
        <w:ind w:firstLine="480" w:firstLineChars="200"/>
        <w:rPr>
          <w:rFonts w:cs="宋体"/>
          <w:color w:val="auto"/>
          <w:highlight w:val="none"/>
        </w:rPr>
      </w:pPr>
      <w:r>
        <w:rPr>
          <w:rFonts w:hint="eastAsia" w:cs="宋体"/>
          <w:color w:val="auto"/>
          <w:highlight w:val="none"/>
        </w:rPr>
        <w:t>第十八条(采购人监管)</w:t>
      </w:r>
    </w:p>
    <w:p>
      <w:pPr>
        <w:topLinePunct/>
        <w:adjustRightInd/>
        <w:ind w:firstLine="480" w:firstLineChars="200"/>
        <w:rPr>
          <w:rFonts w:cs="宋体"/>
          <w:color w:val="auto"/>
          <w:highlight w:val="none"/>
        </w:rPr>
      </w:pPr>
      <w:r>
        <w:rPr>
          <w:rFonts w:hint="eastAsia" w:cs="宋体"/>
          <w:color w:val="auto"/>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color w:val="auto"/>
          <w:highlight w:val="none"/>
        </w:rPr>
      </w:pPr>
      <w:r>
        <w:rPr>
          <w:rFonts w:hint="eastAsia" w:cs="宋体"/>
          <w:color w:val="auto"/>
          <w:highlight w:val="none"/>
        </w:rPr>
        <w:t>第十九条(融资机构监管)</w:t>
      </w:r>
    </w:p>
    <w:p>
      <w:pPr>
        <w:topLinePunct/>
        <w:adjustRightInd/>
        <w:ind w:firstLine="480" w:firstLineChars="200"/>
        <w:rPr>
          <w:rFonts w:cs="宋体"/>
          <w:color w:val="auto"/>
          <w:highlight w:val="none"/>
        </w:rPr>
      </w:pPr>
      <w:r>
        <w:rPr>
          <w:rFonts w:hint="eastAsia" w:cs="宋体"/>
          <w:color w:val="auto"/>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color w:val="auto"/>
          <w:highlight w:val="none"/>
        </w:rPr>
      </w:pPr>
      <w:r>
        <w:rPr>
          <w:rFonts w:hint="eastAsia" w:cs="宋体"/>
          <w:color w:val="auto"/>
          <w:highlight w:val="none"/>
        </w:rPr>
        <w:t>第二十条(供应商监管)</w:t>
      </w:r>
    </w:p>
    <w:p>
      <w:pPr>
        <w:topLinePunct/>
        <w:adjustRightInd/>
        <w:ind w:firstLine="480" w:firstLineChars="200"/>
        <w:rPr>
          <w:rFonts w:cs="宋体"/>
          <w:color w:val="auto"/>
          <w:highlight w:val="none"/>
        </w:rPr>
      </w:pPr>
      <w:r>
        <w:rPr>
          <w:rFonts w:hint="eastAsia" w:cs="宋体"/>
          <w:color w:val="auto"/>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color w:val="auto"/>
          <w:highlight w:val="none"/>
        </w:rPr>
      </w:pPr>
      <w:r>
        <w:rPr>
          <w:rFonts w:hint="eastAsia" w:cs="宋体"/>
          <w:color w:val="auto"/>
          <w:highlight w:val="none"/>
        </w:rPr>
        <w:t>第二十一条</w:t>
      </w:r>
      <w:bookmarkStart w:id="1284" w:name="BM24558847_25425864_3"/>
      <w:bookmarkEnd w:id="1284"/>
      <w:r>
        <w:rPr>
          <w:rFonts w:hint="eastAsia" w:cs="宋体"/>
          <w:color w:val="auto"/>
          <w:highlight w:val="none"/>
        </w:rPr>
        <w:t>(相关单位及工作人员监管)</w:t>
      </w:r>
    </w:p>
    <w:p>
      <w:pPr>
        <w:topLinePunct/>
        <w:adjustRightInd/>
        <w:ind w:firstLine="480" w:firstLineChars="200"/>
        <w:rPr>
          <w:rFonts w:cs="宋体"/>
          <w:color w:val="auto"/>
          <w:highlight w:val="none"/>
        </w:rPr>
      </w:pPr>
      <w:r>
        <w:rPr>
          <w:rFonts w:hint="eastAsia" w:cs="宋体"/>
          <w:color w:val="auto"/>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color w:val="auto"/>
          <w:highlight w:val="none"/>
        </w:rPr>
      </w:pPr>
      <w:r>
        <w:rPr>
          <w:rFonts w:hint="eastAsia" w:cs="宋体"/>
          <w:color w:val="auto"/>
          <w:highlight w:val="none"/>
        </w:rPr>
        <w:t>第六章  附  则</w:t>
      </w:r>
    </w:p>
    <w:p>
      <w:pPr>
        <w:topLinePunct/>
        <w:adjustRightInd/>
        <w:ind w:firstLine="480" w:firstLineChars="200"/>
        <w:rPr>
          <w:rFonts w:cs="宋体"/>
          <w:color w:val="auto"/>
          <w:highlight w:val="none"/>
        </w:rPr>
      </w:pPr>
      <w:r>
        <w:rPr>
          <w:rFonts w:hint="eastAsia" w:cs="宋体"/>
          <w:color w:val="auto"/>
          <w:highlight w:val="none"/>
        </w:rPr>
        <w:t>第二十二条(解释相关)</w:t>
      </w:r>
    </w:p>
    <w:p>
      <w:pPr>
        <w:topLinePunct/>
        <w:adjustRightInd/>
        <w:ind w:firstLine="480" w:firstLineChars="200"/>
        <w:rPr>
          <w:rFonts w:cs="宋体"/>
          <w:color w:val="auto"/>
          <w:highlight w:val="none"/>
        </w:rPr>
      </w:pPr>
      <w:r>
        <w:rPr>
          <w:rFonts w:hint="eastAsia" w:cs="宋体"/>
          <w:color w:val="auto"/>
          <w:highlight w:val="none"/>
        </w:rPr>
        <w:t>本办法由市财政局会同中国人民银行成都分行营业管理部负责解释。</w:t>
      </w:r>
    </w:p>
    <w:p>
      <w:pPr>
        <w:topLinePunct/>
        <w:adjustRightInd/>
        <w:ind w:firstLine="480" w:firstLineChars="200"/>
        <w:rPr>
          <w:rFonts w:cs="宋体"/>
          <w:color w:val="auto"/>
          <w:highlight w:val="none"/>
        </w:rPr>
      </w:pPr>
      <w:r>
        <w:rPr>
          <w:rFonts w:hint="eastAsia" w:cs="宋体"/>
          <w:color w:val="auto"/>
          <w:highlight w:val="none"/>
        </w:rPr>
        <w:t>第二十三条(施行相关)</w:t>
      </w:r>
    </w:p>
    <w:p>
      <w:pPr>
        <w:topLinePunct/>
        <w:adjustRightInd/>
        <w:ind w:firstLine="480" w:firstLineChars="200"/>
        <w:rPr>
          <w:rFonts w:cs="宋体"/>
          <w:color w:val="auto"/>
          <w:highlight w:val="none"/>
        </w:rPr>
      </w:pPr>
      <w:r>
        <w:rPr>
          <w:rFonts w:hint="eastAsia" w:cs="宋体"/>
          <w:color w:val="auto"/>
          <w:highlight w:val="none"/>
        </w:rPr>
        <w:t>本办法自印发之日起施行。市财政局、市金融办2013年12月9日印发的《关于开展中小企业政府采购信用担保及融资试点工作的通知》(成财采〔2013〕200号)同时废止。</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附件2</w:t>
      </w:r>
    </w:p>
    <w:p>
      <w:pPr>
        <w:topLinePunct/>
        <w:adjustRightInd/>
        <w:ind w:firstLine="480" w:firstLineChars="200"/>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成都市级支持中小企业政府采购</w:t>
      </w:r>
    </w:p>
    <w:p>
      <w:pPr>
        <w:topLinePunct/>
        <w:adjustRightInd/>
        <w:jc w:val="center"/>
        <w:rPr>
          <w:rFonts w:cs="宋体"/>
          <w:color w:val="auto"/>
          <w:highlight w:val="none"/>
        </w:rPr>
      </w:pPr>
      <w:r>
        <w:rPr>
          <w:rFonts w:hint="eastAsia" w:cs="宋体"/>
          <w:color w:val="auto"/>
          <w:highlight w:val="none"/>
        </w:rPr>
        <w:t>信用融资实施方案</w:t>
      </w:r>
    </w:p>
    <w:p>
      <w:pPr>
        <w:topLinePunct/>
        <w:adjustRightInd/>
        <w:ind w:firstLine="480" w:firstLineChars="200"/>
        <w:rPr>
          <w:rFonts w:cs="宋体"/>
          <w:color w:val="auto"/>
          <w:highlight w:val="none"/>
        </w:rPr>
      </w:pPr>
    </w:p>
    <w:p>
      <w:pPr>
        <w:topLinePunct/>
        <w:adjustRightInd/>
        <w:ind w:firstLine="480" w:firstLineChars="200"/>
        <w:rPr>
          <w:rFonts w:cs="宋体"/>
          <w:color w:val="auto"/>
          <w:highlight w:val="none"/>
        </w:rPr>
      </w:pPr>
      <w:r>
        <w:rPr>
          <w:rFonts w:hint="eastAsia" w:cs="宋体"/>
          <w:color w:val="auto"/>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color w:val="auto"/>
          <w:highlight w:val="none"/>
        </w:rPr>
      </w:pPr>
      <w:r>
        <w:rPr>
          <w:rFonts w:hint="eastAsia" w:cs="宋体"/>
          <w:color w:val="auto"/>
          <w:highlight w:val="none"/>
        </w:rPr>
        <w:t>一、目标任务</w:t>
      </w:r>
    </w:p>
    <w:p>
      <w:pPr>
        <w:topLinePunct/>
        <w:adjustRightInd/>
        <w:ind w:firstLine="480" w:firstLineChars="200"/>
        <w:rPr>
          <w:rFonts w:cs="宋体"/>
          <w:color w:val="auto"/>
          <w:highlight w:val="none"/>
        </w:rPr>
      </w:pPr>
      <w:r>
        <w:rPr>
          <w:rFonts w:hint="eastAsia" w:cs="宋体"/>
          <w:color w:val="auto"/>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color w:val="auto"/>
          <w:highlight w:val="none"/>
        </w:rPr>
      </w:pPr>
      <w:r>
        <w:rPr>
          <w:rFonts w:hint="eastAsia" w:cs="宋体"/>
          <w:color w:val="auto"/>
          <w:highlight w:val="none"/>
        </w:rPr>
        <w:t>二、适用范围</w:t>
      </w:r>
    </w:p>
    <w:p>
      <w:pPr>
        <w:topLinePunct/>
        <w:adjustRightInd/>
        <w:ind w:firstLine="480" w:firstLineChars="200"/>
        <w:rPr>
          <w:rFonts w:cs="宋体"/>
          <w:color w:val="auto"/>
          <w:highlight w:val="none"/>
        </w:rPr>
      </w:pPr>
      <w:r>
        <w:rPr>
          <w:rFonts w:hint="eastAsia" w:cs="宋体"/>
          <w:color w:val="auto"/>
          <w:highlight w:val="none"/>
        </w:rPr>
        <w:t>本《实施方案》适用于成都市本级政府采购信用融资工作。</w:t>
      </w:r>
    </w:p>
    <w:p>
      <w:pPr>
        <w:topLinePunct/>
        <w:adjustRightInd/>
        <w:ind w:firstLine="480" w:firstLineChars="200"/>
        <w:rPr>
          <w:rFonts w:cs="宋体"/>
          <w:color w:val="auto"/>
          <w:highlight w:val="none"/>
        </w:rPr>
      </w:pPr>
      <w:r>
        <w:rPr>
          <w:rFonts w:hint="eastAsia" w:cs="宋体"/>
          <w:color w:val="auto"/>
          <w:highlight w:val="none"/>
        </w:rPr>
        <w:t xml:space="preserve">三、基本原则 </w:t>
      </w:r>
    </w:p>
    <w:p>
      <w:pPr>
        <w:topLinePunct/>
        <w:adjustRightInd/>
        <w:ind w:firstLine="480" w:firstLineChars="200"/>
        <w:rPr>
          <w:rFonts w:cs="宋体"/>
          <w:color w:val="auto"/>
          <w:highlight w:val="none"/>
        </w:rPr>
      </w:pPr>
      <w:r>
        <w:rPr>
          <w:rFonts w:hint="eastAsia" w:cs="宋体"/>
          <w:color w:val="auto"/>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color w:val="auto"/>
          <w:highlight w:val="none"/>
        </w:rPr>
      </w:pPr>
      <w:r>
        <w:rPr>
          <w:rFonts w:hint="eastAsia" w:cs="宋体"/>
          <w:color w:val="auto"/>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color w:val="auto"/>
          <w:highlight w:val="none"/>
        </w:rPr>
      </w:pPr>
      <w:r>
        <w:rPr>
          <w:rFonts w:hint="eastAsia" w:cs="宋体"/>
          <w:color w:val="auto"/>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color w:val="auto"/>
          <w:highlight w:val="none"/>
        </w:rPr>
      </w:pPr>
      <w:r>
        <w:rPr>
          <w:rFonts w:hint="eastAsia" w:cs="宋体"/>
          <w:color w:val="auto"/>
          <w:highlight w:val="none"/>
        </w:rPr>
        <w:t>四、组织实施</w:t>
      </w:r>
    </w:p>
    <w:p>
      <w:pPr>
        <w:topLinePunct/>
        <w:adjustRightInd/>
        <w:ind w:firstLine="480" w:firstLineChars="200"/>
        <w:rPr>
          <w:rFonts w:cs="宋体"/>
          <w:color w:val="auto"/>
          <w:highlight w:val="none"/>
        </w:rPr>
      </w:pPr>
      <w:r>
        <w:rPr>
          <w:rFonts w:hint="eastAsia" w:cs="宋体"/>
          <w:color w:val="auto"/>
          <w:highlight w:val="none"/>
        </w:rPr>
        <w:t>(一)宣传动员</w:t>
      </w:r>
    </w:p>
    <w:p>
      <w:pPr>
        <w:topLinePunct/>
        <w:adjustRightInd/>
        <w:ind w:firstLine="480" w:firstLineChars="200"/>
        <w:rPr>
          <w:rFonts w:cs="宋体"/>
          <w:color w:val="auto"/>
          <w:highlight w:val="none"/>
        </w:rPr>
      </w:pPr>
      <w:r>
        <w:rPr>
          <w:rFonts w:hint="eastAsia" w:cs="宋体"/>
          <w:color w:val="auto"/>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color w:val="auto"/>
          <w:highlight w:val="none"/>
        </w:rPr>
      </w:pPr>
      <w:r>
        <w:rPr>
          <w:rFonts w:hint="eastAsia" w:cs="宋体"/>
          <w:color w:val="auto"/>
          <w:highlight w:val="none"/>
        </w:rPr>
        <w:t>(二)融资机构选择</w:t>
      </w:r>
    </w:p>
    <w:p>
      <w:pPr>
        <w:topLinePunct/>
        <w:adjustRightInd/>
        <w:ind w:firstLine="480" w:firstLineChars="200"/>
        <w:rPr>
          <w:rFonts w:cs="宋体"/>
          <w:color w:val="auto"/>
          <w:highlight w:val="none"/>
        </w:rPr>
      </w:pPr>
      <w:r>
        <w:rPr>
          <w:rFonts w:hint="eastAsia" w:cs="宋体"/>
          <w:color w:val="auto"/>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auto"/>
          <w:highlight w:val="none"/>
        </w:rPr>
      </w:pPr>
      <w:r>
        <w:rPr>
          <w:rFonts w:hint="eastAsia" w:cs="宋体"/>
          <w:color w:val="auto"/>
          <w:highlight w:val="none"/>
        </w:rPr>
        <w:t>(1)融资机构基本情况；</w:t>
      </w:r>
    </w:p>
    <w:p>
      <w:pPr>
        <w:topLinePunct/>
        <w:adjustRightInd/>
        <w:ind w:firstLine="480" w:firstLineChars="200"/>
        <w:rPr>
          <w:rFonts w:cs="宋体"/>
          <w:color w:val="auto"/>
          <w:highlight w:val="none"/>
        </w:rPr>
      </w:pPr>
      <w:r>
        <w:rPr>
          <w:rFonts w:hint="eastAsia" w:cs="宋体"/>
          <w:color w:val="auto"/>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color w:val="auto"/>
          <w:highlight w:val="none"/>
        </w:rPr>
      </w:pPr>
      <w:r>
        <w:rPr>
          <w:rFonts w:hint="eastAsia" w:cs="宋体"/>
          <w:color w:val="auto"/>
          <w:highlight w:val="none"/>
        </w:rPr>
        <w:t>(3)关于遵照《暂行办法》和《实施方案》开展政府采购信用融资业务的承诺；</w:t>
      </w:r>
    </w:p>
    <w:p>
      <w:pPr>
        <w:topLinePunct/>
        <w:adjustRightInd/>
        <w:ind w:firstLine="480" w:firstLineChars="200"/>
        <w:rPr>
          <w:rFonts w:cs="宋体"/>
          <w:color w:val="auto"/>
          <w:highlight w:val="none"/>
        </w:rPr>
      </w:pPr>
      <w:r>
        <w:rPr>
          <w:rFonts w:hint="eastAsia" w:cs="宋体"/>
          <w:color w:val="auto"/>
          <w:highlight w:val="none"/>
        </w:rPr>
        <w:t>(4)关于政府采购信用融资业务风险及系统对接研发费用自行承担的承诺。</w:t>
      </w:r>
    </w:p>
    <w:p>
      <w:pPr>
        <w:topLinePunct/>
        <w:adjustRightInd/>
        <w:ind w:firstLine="480" w:firstLineChars="200"/>
        <w:rPr>
          <w:rFonts w:cs="宋体"/>
          <w:color w:val="auto"/>
          <w:highlight w:val="none"/>
        </w:rPr>
      </w:pPr>
      <w:r>
        <w:rPr>
          <w:rFonts w:hint="eastAsia" w:cs="宋体"/>
          <w:color w:val="auto"/>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color w:val="auto"/>
          <w:highlight w:val="none"/>
        </w:rPr>
      </w:pPr>
      <w:r>
        <w:rPr>
          <w:rFonts w:hint="eastAsia" w:cs="宋体"/>
          <w:color w:val="auto"/>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color w:val="auto"/>
          <w:highlight w:val="none"/>
        </w:rPr>
      </w:pPr>
      <w:r>
        <w:rPr>
          <w:rFonts w:hint="eastAsia" w:cs="宋体"/>
          <w:color w:val="auto"/>
          <w:highlight w:val="none"/>
        </w:rPr>
        <w:t>(三)其他事项</w:t>
      </w:r>
    </w:p>
    <w:p>
      <w:pPr>
        <w:topLinePunct/>
        <w:adjustRightInd/>
        <w:ind w:firstLine="480" w:firstLineChars="200"/>
        <w:rPr>
          <w:rFonts w:cs="宋体"/>
          <w:color w:val="auto"/>
          <w:highlight w:val="none"/>
        </w:rPr>
      </w:pPr>
      <w:r>
        <w:rPr>
          <w:rFonts w:hint="eastAsia" w:cs="宋体"/>
          <w:color w:val="auto"/>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color w:val="auto"/>
          <w:highlight w:val="none"/>
        </w:rPr>
      </w:pPr>
      <w:r>
        <w:rPr>
          <w:rFonts w:hint="eastAsia" w:cs="宋体"/>
          <w:color w:val="auto"/>
          <w:highlight w:val="none"/>
        </w:rPr>
        <w:t>五、相关要求</w:t>
      </w:r>
    </w:p>
    <w:p>
      <w:pPr>
        <w:topLinePunct/>
        <w:adjustRightInd/>
        <w:ind w:firstLine="480" w:firstLineChars="200"/>
        <w:rPr>
          <w:rFonts w:cs="宋体"/>
          <w:color w:val="auto"/>
          <w:highlight w:val="none"/>
        </w:rPr>
      </w:pPr>
      <w:r>
        <w:rPr>
          <w:rFonts w:hint="eastAsia" w:cs="宋体"/>
          <w:color w:val="auto"/>
          <w:highlight w:val="none"/>
        </w:rPr>
        <w:t>(一)加强组织领导。</w:t>
      </w:r>
      <w:r>
        <w:rPr>
          <w:rFonts w:hint="eastAsia" w:cs="宋体"/>
          <w:color w:val="auto"/>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color w:val="auto"/>
          <w:highlight w:val="none"/>
        </w:rPr>
        <w:t>全面、有序、科学推进政府采购信用融资工作。</w:t>
      </w:r>
    </w:p>
    <w:p>
      <w:pPr>
        <w:topLinePunct/>
        <w:adjustRightInd/>
        <w:ind w:firstLine="480" w:firstLineChars="200"/>
        <w:rPr>
          <w:rFonts w:cs="宋体"/>
          <w:color w:val="auto"/>
          <w:highlight w:val="none"/>
        </w:rPr>
      </w:pPr>
      <w:r>
        <w:rPr>
          <w:rFonts w:hint="eastAsia" w:cs="宋体"/>
          <w:color w:val="auto"/>
          <w:highlight w:val="none"/>
        </w:rPr>
        <w:t>(二)注重协调配合。</w:t>
      </w:r>
      <w:r>
        <w:rPr>
          <w:rFonts w:hint="eastAsia" w:cs="宋体"/>
          <w:color w:val="auto"/>
          <w:kern w:val="0"/>
          <w:highlight w:val="none"/>
        </w:rPr>
        <w:t>市财政局、中国人民银行成都分行营业管理部及采购人</w:t>
      </w:r>
      <w:r>
        <w:rPr>
          <w:rFonts w:hint="eastAsia" w:cs="宋体"/>
          <w:color w:val="auto"/>
          <w:highlight w:val="none"/>
        </w:rPr>
        <w:t>等有关单位要根据职责任务，及时协调解决工作中遇到的困难和问题，积极</w:t>
      </w:r>
      <w:r>
        <w:rPr>
          <w:rFonts w:hint="eastAsia" w:cs="宋体"/>
          <w:color w:val="auto"/>
          <w:kern w:val="0"/>
          <w:highlight w:val="none"/>
        </w:rPr>
        <w:t>创造条件主动服务，帮助有融资需求、符合条件的供应商实现政府采购信用融资，促进中小企业又好又快发展</w:t>
      </w:r>
      <w:r>
        <w:rPr>
          <w:rFonts w:hint="eastAsia" w:cs="宋体"/>
          <w:color w:val="auto"/>
          <w:highlight w:val="none"/>
        </w:rPr>
        <w:t>。</w:t>
      </w:r>
    </w:p>
    <w:p>
      <w:pPr>
        <w:topLinePunct/>
        <w:adjustRightInd/>
        <w:ind w:firstLine="480" w:firstLineChars="200"/>
        <w:rPr>
          <w:rFonts w:cs="宋体"/>
          <w:color w:val="auto"/>
          <w:highlight w:val="none"/>
        </w:rPr>
      </w:pPr>
      <w:r>
        <w:rPr>
          <w:rFonts w:hint="eastAsia" w:cs="宋体"/>
          <w:color w:val="auto"/>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3"/>
        <w:ind w:firstLine="482"/>
        <w:rPr>
          <w:color w:val="auto"/>
          <w:highlight w:val="none"/>
        </w:rPr>
      </w:pPr>
    </w:p>
    <w:p>
      <w:pPr>
        <w:pStyle w:val="53"/>
        <w:ind w:firstLine="482"/>
        <w:rPr>
          <w:color w:val="auto"/>
          <w:highlight w:val="none"/>
        </w:rPr>
      </w:pPr>
    </w:p>
    <w:sectPr>
      <w:pgSz w:w="11906" w:h="16838"/>
      <w:pgMar w:top="1440" w:right="1080" w:bottom="1440" w:left="108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87A465D-5DE0-4EF6-931C-9E0F661EAA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25424FC3-E6F1-4822-A4A5-499FA4A79318}"/>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3000509000000000000"/>
    <w:charset w:val="86"/>
    <w:family w:val="auto"/>
    <w:pitch w:val="default"/>
    <w:sig w:usb0="00000000" w:usb1="00000000" w:usb2="00000000" w:usb3="00000000" w:csb0="00040000" w:csb1="00000000"/>
    <w:embedRegular r:id="rId3" w:fontKey="{4728C07C-E032-4AE7-B8B0-3BC8220701E8}"/>
  </w:font>
  <w:font w:name="Arial Unicode MS">
    <w:panose1 w:val="020B0604020202020204"/>
    <w:charset w:val="86"/>
    <w:family w:val="auto"/>
    <w:pitch w:val="default"/>
    <w:sig w:usb0="FFFFFFFF" w:usb1="E9FFFFFF" w:usb2="0000003F" w:usb3="00000000" w:csb0="603F01FF" w:csb1="FFFF0000"/>
  </w:font>
  <w:font w:name="方正仿宋_GBK">
    <w:altName w:val="Arial Unicode MS"/>
    <w:panose1 w:val="03000509000000000000"/>
    <w:charset w:val="86"/>
    <w:family w:val="script"/>
    <w:pitch w:val="default"/>
    <w:sig w:usb0="00000000" w:usb1="00000000" w:usb2="00000000" w:usb3="00000000" w:csb0="00040000" w:csb1="00000000"/>
    <w:embedRegular r:id="rId4" w:fontKey="{E415EB5B-3BA2-43F9-905A-9EEE9A779DE7}"/>
  </w:font>
  <w:font w:name="方正小标宋_GBK">
    <w:altName w:val="Arial Unicode MS"/>
    <w:panose1 w:val="02000000000000000000"/>
    <w:charset w:val="86"/>
    <w:family w:val="script"/>
    <w:pitch w:val="default"/>
    <w:sig w:usb0="00000000" w:usb1="00000000" w:usb2="00082016" w:usb3="00000000" w:csb0="00040001" w:csb1="00000000"/>
    <w:embedRegular r:id="rId5" w:fontKey="{BE31E75E-7FE6-47D8-91E6-88B809A6E92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0288"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0288;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7"/>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8"/>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30"/>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2"/>
      <w:suff w:val="nothing"/>
      <w:lvlText w:val="%2、"/>
      <w:lvlJc w:val="left"/>
      <w:pPr>
        <w:ind w:left="0" w:firstLine="0"/>
      </w:pPr>
      <w:rPr>
        <w:rFonts w:hint="eastAsia" w:ascii="宋体" w:hAnsi="宋体" w:eastAsia="宋体" w:cs="宋体"/>
      </w:rPr>
    </w:lvl>
    <w:lvl w:ilvl="2" w:tentative="0">
      <w:start w:val="1"/>
      <w:numFmt w:val="chineseCounting"/>
      <w:pStyle w:val="33"/>
      <w:suff w:val="nothing"/>
      <w:lvlText w:val="(%3)"/>
      <w:lvlJc w:val="left"/>
      <w:pPr>
        <w:tabs>
          <w:tab w:val="left" w:pos="0"/>
        </w:tabs>
        <w:ind w:left="0" w:firstLine="0"/>
      </w:pPr>
      <w:rPr>
        <w:rFonts w:hint="eastAsia" w:ascii="宋体" w:hAnsi="宋体" w:eastAsia="宋体" w:cs="宋体"/>
      </w:rPr>
    </w:lvl>
    <w:lvl w:ilvl="3" w:tentative="0">
      <w:start w:val="1"/>
      <w:numFmt w:val="decimal"/>
      <w:pStyle w:val="34"/>
      <w:suff w:val="nothing"/>
      <w:lvlText w:val="%4."/>
      <w:lvlJc w:val="left"/>
      <w:pPr>
        <w:tabs>
          <w:tab w:val="left" w:pos="0"/>
        </w:tabs>
        <w:ind w:left="0" w:firstLine="0"/>
      </w:pPr>
      <w:rPr>
        <w:rFonts w:hint="eastAsia" w:ascii="宋体" w:hAnsi="宋体" w:eastAsia="宋体" w:cs="宋体"/>
      </w:rPr>
    </w:lvl>
    <w:lvl w:ilvl="4" w:tentative="0">
      <w:start w:val="1"/>
      <w:numFmt w:val="decimal"/>
      <w:pStyle w:val="36"/>
      <w:suff w:val="nothing"/>
      <w:lvlText w:val="%4.%5"/>
      <w:lvlJc w:val="left"/>
      <w:pPr>
        <w:ind w:left="0" w:firstLine="0"/>
      </w:pPr>
      <w:rPr>
        <w:rFonts w:hint="eastAsia" w:ascii="宋体" w:hAnsi="宋体" w:eastAsia="宋体" w:cs="宋体"/>
      </w:rPr>
    </w:lvl>
    <w:lvl w:ilvl="5" w:tentative="0">
      <w:start w:val="1"/>
      <w:numFmt w:val="decimal"/>
      <w:pStyle w:val="37"/>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6"/>
      <w:suff w:val="nothing"/>
      <w:lvlText w:val="%1."/>
      <w:lvlJc w:val="left"/>
      <w:pPr>
        <w:tabs>
          <w:tab w:val="left" w:pos="420"/>
        </w:tabs>
        <w:ind w:left="0" w:firstLine="0"/>
      </w:pPr>
      <w:rPr>
        <w:rFonts w:hint="default" w:ascii="宋体" w:hAnsi="宋体" w:eastAsia="宋体" w:cs="宋体"/>
      </w:rPr>
    </w:lvl>
    <w:lvl w:ilvl="1" w:tentative="0">
      <w:start w:val="1"/>
      <w:numFmt w:val="decimal"/>
      <w:pStyle w:val="47"/>
      <w:suff w:val="nothing"/>
      <w:lvlText w:val="%1.%2"/>
      <w:lvlJc w:val="left"/>
      <w:pPr>
        <w:tabs>
          <w:tab w:val="left" w:pos="420"/>
        </w:tabs>
        <w:ind w:left="0" w:firstLine="0"/>
      </w:pPr>
      <w:rPr>
        <w:rFonts w:hint="default" w:ascii="宋体" w:hAnsi="宋体" w:eastAsia="宋体" w:cs="宋体"/>
      </w:rPr>
    </w:lvl>
    <w:lvl w:ilvl="2" w:tentative="0">
      <w:start w:val="1"/>
      <w:numFmt w:val="decimal"/>
      <w:pStyle w:val="48"/>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4"/>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50"/>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41"/>
      <w:suff w:val="nothing"/>
      <w:lvlText w:val="(%2)"/>
      <w:lvlJc w:val="left"/>
      <w:pPr>
        <w:ind w:left="0" w:firstLine="0"/>
      </w:pPr>
      <w:rPr>
        <w:rFonts w:hint="eastAsia" w:ascii="宋体" w:hAnsi="宋体" w:eastAsia="宋体" w:cs="宋体"/>
      </w:rPr>
    </w:lvl>
    <w:lvl w:ilvl="2" w:tentative="0">
      <w:start w:val="1"/>
      <w:numFmt w:val="decimal"/>
      <w:pStyle w:val="43"/>
      <w:suff w:val="nothing"/>
      <w:lvlText w:val="%3."/>
      <w:lvlJc w:val="left"/>
      <w:pPr>
        <w:ind w:left="0" w:firstLine="0"/>
      </w:pPr>
      <w:rPr>
        <w:rFonts w:hint="eastAsia" w:ascii="宋体" w:hAnsi="宋体" w:eastAsia="宋体" w:cs="宋体"/>
      </w:rPr>
    </w:lvl>
    <w:lvl w:ilvl="3" w:tentative="0">
      <w:start w:val="1"/>
      <w:numFmt w:val="decimal"/>
      <w:pStyle w:val="44"/>
      <w:suff w:val="nothing"/>
      <w:lvlText w:val="%3.%4"/>
      <w:lvlJc w:val="left"/>
      <w:pPr>
        <w:ind w:left="0" w:firstLine="0"/>
      </w:pPr>
      <w:rPr>
        <w:rFonts w:hint="eastAsia" w:ascii="宋体" w:hAnsi="宋体" w:eastAsia="宋体" w:cs="宋体"/>
      </w:rPr>
    </w:lvl>
    <w:lvl w:ilvl="4" w:tentative="0">
      <w:start w:val="1"/>
      <w:numFmt w:val="decimal"/>
      <w:pStyle w:val="45"/>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6">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7">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8">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9">
    <w:nsid w:val="0D3DD0CB"/>
    <w:multiLevelType w:val="singleLevel"/>
    <w:tmpl w:val="0D3DD0CB"/>
    <w:lvl w:ilvl="0" w:tentative="0">
      <w:start w:val="1"/>
      <w:numFmt w:val="decimal"/>
      <w:lvlText w:val="%1."/>
      <w:lvlJc w:val="left"/>
      <w:pPr>
        <w:tabs>
          <w:tab w:val="left" w:pos="312"/>
        </w:tabs>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5BB78545"/>
    <w:multiLevelType w:val="singleLevel"/>
    <w:tmpl w:val="5BB78545"/>
    <w:lvl w:ilvl="0" w:tentative="0">
      <w:start w:val="1"/>
      <w:numFmt w:val="decimal"/>
      <w:lvlText w:val="%1."/>
      <w:lvlJc w:val="left"/>
      <w:pPr>
        <w:tabs>
          <w:tab w:val="left" w:pos="312"/>
        </w:tabs>
      </w:pPr>
      <w:rPr>
        <w:rFonts w:hint="default" w:ascii="宋体" w:hAnsi="宋体" w:eastAsia="宋体" w:cs="宋体"/>
        <w:b w:val="0"/>
        <w:bCs w:val="0"/>
        <w:sz w:val="21"/>
        <w:szCs w:val="21"/>
      </w:rPr>
    </w:lvl>
  </w:abstractNum>
  <w:abstractNum w:abstractNumId="12">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10"/>
  </w:num>
  <w:num w:numId="3">
    <w:abstractNumId w:val="0"/>
  </w:num>
  <w:num w:numId="4">
    <w:abstractNumId w:val="1"/>
  </w:num>
  <w:num w:numId="5">
    <w:abstractNumId w:val="3"/>
  </w:num>
  <w:num w:numId="6">
    <w:abstractNumId w:val="2"/>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dit="forms" w:enforcement="0"/>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oa.cdgmxy.edu.cn/seeyon/officeservlet"/>
  </w:docVars>
  <w:rsids>
    <w:rsidRoot w:val="00B64C7A"/>
    <w:rsid w:val="000D2E40"/>
    <w:rsid w:val="001371B0"/>
    <w:rsid w:val="00313E06"/>
    <w:rsid w:val="0064019E"/>
    <w:rsid w:val="00697D14"/>
    <w:rsid w:val="00733B60"/>
    <w:rsid w:val="0076347C"/>
    <w:rsid w:val="009F39F2"/>
    <w:rsid w:val="00B64C7A"/>
    <w:rsid w:val="00CB7EF0"/>
    <w:rsid w:val="1A286C41"/>
    <w:rsid w:val="2C5336BD"/>
    <w:rsid w:val="501B479F"/>
    <w:rsid w:val="60B774A9"/>
    <w:rsid w:val="65264DB2"/>
    <w:rsid w:val="718D7D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4">
    <w:name w:val="heading 1"/>
    <w:basedOn w:val="1"/>
    <w:next w:val="1"/>
    <w:qFormat/>
    <w:uiPriority w:val="0"/>
    <w:pPr>
      <w:keepNext/>
      <w:keepLines/>
      <w:outlineLvl w:val="0"/>
    </w:pPr>
    <w:rPr>
      <w:b/>
      <w:kern w:val="44"/>
      <w:sz w:val="44"/>
    </w:rPr>
  </w:style>
  <w:style w:type="paragraph" w:styleId="5">
    <w:name w:val="heading 2"/>
    <w:basedOn w:val="1"/>
    <w:next w:val="1"/>
    <w:link w:val="40"/>
    <w:unhideWhenUsed/>
    <w:qFormat/>
    <w:uiPriority w:val="0"/>
    <w:pPr>
      <w:keepNext/>
      <w:keepLines/>
      <w:spacing w:line="500" w:lineRule="exact"/>
      <w:outlineLvl w:val="1"/>
    </w:pPr>
    <w:rPr>
      <w:rFonts w:ascii="Arial" w:hAnsi="Arial" w:eastAsia="黑体"/>
      <w:b/>
      <w:sz w:val="28"/>
    </w:rPr>
  </w:style>
  <w:style w:type="paragraph" w:styleId="6">
    <w:name w:val="heading 3"/>
    <w:basedOn w:val="1"/>
    <w:next w:val="1"/>
    <w:unhideWhenUsed/>
    <w:qFormat/>
    <w:uiPriority w:val="0"/>
    <w:pPr>
      <w:outlineLvl w:val="2"/>
    </w:pPr>
    <w:rPr>
      <w:rFonts w:hint="eastAsia" w:cs="Times New Roman"/>
      <w:b/>
      <w:kern w:val="0"/>
      <w:sz w:val="27"/>
      <w:szCs w:val="27"/>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1">
    <w:name w:val="Normal Indent"/>
    <w:basedOn w:val="1"/>
    <w:qFormat/>
    <w:uiPriority w:val="0"/>
    <w:pPr>
      <w:ind w:firstLine="420" w:firstLineChars="200"/>
    </w:pPr>
  </w:style>
  <w:style w:type="paragraph" w:styleId="12">
    <w:name w:val="annotation text"/>
    <w:basedOn w:val="1"/>
    <w:link w:val="80"/>
    <w:qFormat/>
    <w:uiPriority w:val="0"/>
  </w:style>
  <w:style w:type="paragraph" w:styleId="13">
    <w:name w:val="Body Text"/>
    <w:basedOn w:val="1"/>
    <w:next w:val="1"/>
    <w:qFormat/>
    <w:uiPriority w:val="0"/>
    <w:pPr>
      <w:spacing w:after="120"/>
    </w:pPr>
    <w:rPr>
      <w:rFonts w:ascii="Times New Roman"/>
    </w:rPr>
  </w:style>
  <w:style w:type="paragraph" w:styleId="14">
    <w:name w:val="Body Text Indent"/>
    <w:basedOn w:val="1"/>
    <w:qFormat/>
    <w:uiPriority w:val="0"/>
    <w:pPr>
      <w:ind w:firstLine="538" w:firstLineChars="168"/>
    </w:pPr>
    <w:rPr>
      <w:rFonts w:ascii="仿宋_GB2312" w:eastAsia="仿宋_GB2312"/>
      <w:sz w:val="32"/>
    </w:rPr>
  </w:style>
  <w:style w:type="paragraph" w:styleId="15">
    <w:name w:val="toc 3"/>
    <w:basedOn w:val="1"/>
    <w:next w:val="1"/>
    <w:qFormat/>
    <w:uiPriority w:val="0"/>
    <w:pPr>
      <w:wordWrap w:val="0"/>
      <w:topLinePunct/>
      <w:spacing w:line="400" w:lineRule="exact"/>
      <w:ind w:left="840" w:leftChars="400"/>
    </w:pPr>
    <w:rPr>
      <w:sz w:val="21"/>
    </w:rPr>
  </w:style>
  <w:style w:type="paragraph" w:styleId="16">
    <w:name w:val="Balloon Text"/>
    <w:basedOn w:val="1"/>
    <w:link w:val="83"/>
    <w:qFormat/>
    <w:uiPriority w:val="0"/>
    <w:pPr>
      <w:spacing w:line="240" w:lineRule="auto"/>
    </w:pPr>
    <w:rPr>
      <w:sz w:val="18"/>
      <w:szCs w:val="18"/>
    </w:rPr>
  </w:style>
  <w:style w:type="paragraph" w:styleId="17">
    <w:name w:val="footer"/>
    <w:basedOn w:val="1"/>
    <w:link w:val="39"/>
    <w:qFormat/>
    <w:uiPriority w:val="0"/>
    <w:pPr>
      <w:spacing w:line="240" w:lineRule="auto"/>
    </w:pPr>
    <w:rPr>
      <w:sz w:val="18"/>
      <w:szCs w:val="18"/>
    </w:rPr>
  </w:style>
  <w:style w:type="paragraph" w:styleId="18">
    <w:name w:val="header"/>
    <w:basedOn w:val="1"/>
    <w:link w:val="38"/>
    <w:qFormat/>
    <w:uiPriority w:val="0"/>
    <w:pPr>
      <w:pBdr>
        <w:bottom w:val="single" w:color="auto" w:sz="6" w:space="1"/>
      </w:pBdr>
      <w:wordWrap w:val="0"/>
      <w:topLinePunct/>
      <w:spacing w:line="240" w:lineRule="auto"/>
      <w:jc w:val="center"/>
    </w:pPr>
    <w:rPr>
      <w:sz w:val="18"/>
      <w:szCs w:val="18"/>
    </w:rPr>
  </w:style>
  <w:style w:type="paragraph" w:styleId="19">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0">
    <w:name w:val="toc 2"/>
    <w:basedOn w:val="1"/>
    <w:next w:val="1"/>
    <w:qFormat/>
    <w:uiPriority w:val="0"/>
    <w:pPr>
      <w:wordWrap w:val="0"/>
      <w:topLinePunct/>
      <w:spacing w:line="400" w:lineRule="exact"/>
      <w:ind w:left="420" w:leftChars="200"/>
    </w:pPr>
    <w:rPr>
      <w:sz w:val="21"/>
    </w:rPr>
  </w:style>
  <w:style w:type="paragraph" w:styleId="21">
    <w:name w:val="Normal (Web)"/>
    <w:basedOn w:val="1"/>
    <w:qFormat/>
    <w:uiPriority w:val="0"/>
    <w:pPr>
      <w:spacing w:beforeAutospacing="1" w:afterAutospacing="1"/>
    </w:pPr>
    <w:rPr>
      <w:rFonts w:cs="Times New Roman"/>
      <w:kern w:val="0"/>
    </w:rPr>
  </w:style>
  <w:style w:type="paragraph" w:styleId="22">
    <w:name w:val="annotation subject"/>
    <w:basedOn w:val="12"/>
    <w:next w:val="12"/>
    <w:link w:val="81"/>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basedOn w:val="25"/>
    <w:qFormat/>
    <w:uiPriority w:val="0"/>
    <w:rPr>
      <w:rFonts w:hint="eastAsia" w:ascii="微软雅黑" w:hAnsi="微软雅黑" w:eastAsia="微软雅黑" w:cs="微软雅黑"/>
      <w:color w:val="02396F"/>
      <w:u w:val="single"/>
    </w:rPr>
  </w:style>
  <w:style w:type="character" w:styleId="27">
    <w:name w:val="Emphasis"/>
    <w:basedOn w:val="25"/>
    <w:qFormat/>
    <w:uiPriority w:val="99"/>
  </w:style>
  <w:style w:type="character" w:styleId="28">
    <w:name w:val="Hyperlink"/>
    <w:basedOn w:val="25"/>
    <w:qFormat/>
    <w:uiPriority w:val="0"/>
    <w:rPr>
      <w:color w:val="0000FF"/>
      <w:u w:val="single"/>
    </w:rPr>
  </w:style>
  <w:style w:type="character" w:styleId="29">
    <w:name w:val="annotation reference"/>
    <w:basedOn w:val="25"/>
    <w:qFormat/>
    <w:uiPriority w:val="0"/>
    <w:rPr>
      <w:sz w:val="21"/>
      <w:szCs w:val="21"/>
    </w:rPr>
  </w:style>
  <w:style w:type="paragraph" w:customStyle="1" w:styleId="30">
    <w:name w:val="14、“第一章”一级标题"/>
    <w:basedOn w:val="31"/>
    <w:qFormat/>
    <w:uiPriority w:val="0"/>
    <w:pPr>
      <w:numPr>
        <w:ilvl w:val="0"/>
        <w:numId w:val="3"/>
      </w:numPr>
      <w:spacing w:before="50" w:beforeLines="50" w:after="50" w:afterLines="50" w:line="240" w:lineRule="auto"/>
      <w:jc w:val="center"/>
      <w:outlineLvl w:val="0"/>
    </w:pPr>
    <w:rPr>
      <w:b/>
      <w:sz w:val="36"/>
    </w:rPr>
  </w:style>
  <w:style w:type="paragraph" w:customStyle="1" w:styleId="31">
    <w:name w:val="01、普通正文"/>
    <w:basedOn w:val="1"/>
    <w:link w:val="60"/>
    <w:qFormat/>
    <w:uiPriority w:val="0"/>
    <w:pPr>
      <w:wordWrap w:val="0"/>
      <w:topLinePunct/>
    </w:pPr>
    <w:rPr>
      <w:snapToGrid w:val="0"/>
    </w:rPr>
  </w:style>
  <w:style w:type="paragraph" w:customStyle="1" w:styleId="32">
    <w:name w:val="15、“一、”二级标题"/>
    <w:basedOn w:val="1"/>
    <w:qFormat/>
    <w:uiPriority w:val="0"/>
    <w:pPr>
      <w:numPr>
        <w:ilvl w:val="1"/>
        <w:numId w:val="3"/>
      </w:numPr>
      <w:wordWrap w:val="0"/>
      <w:topLinePunct/>
      <w:ind w:firstLine="803" w:firstLineChars="200"/>
      <w:outlineLvl w:val="1"/>
    </w:pPr>
    <w:rPr>
      <w:b/>
    </w:rPr>
  </w:style>
  <w:style w:type="paragraph" w:customStyle="1" w:styleId="33">
    <w:name w:val="16、“(一)”三级标题"/>
    <w:basedOn w:val="31"/>
    <w:link w:val="58"/>
    <w:qFormat/>
    <w:uiPriority w:val="0"/>
    <w:pPr>
      <w:numPr>
        <w:ilvl w:val="2"/>
        <w:numId w:val="3"/>
      </w:numPr>
      <w:ind w:firstLine="803" w:firstLineChars="200"/>
      <w:outlineLvl w:val="2"/>
    </w:pPr>
    <w:rPr>
      <w:b/>
    </w:rPr>
  </w:style>
  <w:style w:type="paragraph" w:customStyle="1" w:styleId="34">
    <w:name w:val="17“1.”四级标题"/>
    <w:basedOn w:val="35"/>
    <w:qFormat/>
    <w:uiPriority w:val="0"/>
    <w:pPr>
      <w:numPr>
        <w:ilvl w:val="3"/>
        <w:numId w:val="3"/>
      </w:numPr>
      <w:ind w:firstLine="803"/>
    </w:pPr>
  </w:style>
  <w:style w:type="paragraph" w:customStyle="1" w:styleId="35">
    <w:name w:val="02、首行缩进2字符正文"/>
    <w:basedOn w:val="1"/>
    <w:link w:val="59"/>
    <w:qFormat/>
    <w:uiPriority w:val="0"/>
    <w:pPr>
      <w:wordWrap w:val="0"/>
      <w:topLinePunct/>
      <w:ind w:firstLine="480" w:firstLineChars="200"/>
    </w:pPr>
  </w:style>
  <w:style w:type="paragraph" w:customStyle="1" w:styleId="36">
    <w:name w:val="18、“1.1”五级标题"/>
    <w:basedOn w:val="34"/>
    <w:qFormat/>
    <w:uiPriority w:val="0"/>
    <w:pPr>
      <w:numPr>
        <w:ilvl w:val="4"/>
      </w:numPr>
      <w:ind w:firstLine="803"/>
    </w:pPr>
  </w:style>
  <w:style w:type="paragraph" w:customStyle="1" w:styleId="37">
    <w:name w:val="19、“(1)”六级标题"/>
    <w:basedOn w:val="34"/>
    <w:qFormat/>
    <w:uiPriority w:val="0"/>
    <w:pPr>
      <w:numPr>
        <w:ilvl w:val="5"/>
      </w:numPr>
      <w:ind w:firstLine="803"/>
    </w:pPr>
  </w:style>
  <w:style w:type="character" w:customStyle="1" w:styleId="38">
    <w:name w:val="页眉 字符"/>
    <w:basedOn w:val="25"/>
    <w:link w:val="18"/>
    <w:qFormat/>
    <w:uiPriority w:val="0"/>
    <w:rPr>
      <w:rFonts w:ascii="宋体" w:hAnsi="宋体" w:eastAsia="宋体" w:cstheme="minorBidi"/>
      <w:kern w:val="2"/>
      <w:sz w:val="18"/>
      <w:szCs w:val="18"/>
    </w:rPr>
  </w:style>
  <w:style w:type="character" w:customStyle="1" w:styleId="39">
    <w:name w:val="页脚 字符"/>
    <w:basedOn w:val="25"/>
    <w:link w:val="17"/>
    <w:qFormat/>
    <w:uiPriority w:val="0"/>
    <w:rPr>
      <w:rFonts w:ascii="宋体" w:hAnsi="宋体" w:eastAsia="宋体" w:cstheme="minorBidi"/>
      <w:kern w:val="2"/>
      <w:sz w:val="18"/>
      <w:szCs w:val="18"/>
    </w:rPr>
  </w:style>
  <w:style w:type="character" w:customStyle="1" w:styleId="40">
    <w:name w:val="标题 2 字符"/>
    <w:basedOn w:val="25"/>
    <w:link w:val="5"/>
    <w:qFormat/>
    <w:uiPriority w:val="0"/>
    <w:rPr>
      <w:rFonts w:ascii="Arial" w:hAnsi="Arial" w:eastAsia="黑体"/>
      <w:b/>
      <w:sz w:val="28"/>
    </w:rPr>
  </w:style>
  <w:style w:type="paragraph" w:customStyle="1" w:styleId="41">
    <w:name w:val="05、“(一)”正文三级标题"/>
    <w:basedOn w:val="1"/>
    <w:link w:val="62"/>
    <w:qFormat/>
    <w:uiPriority w:val="0"/>
    <w:pPr>
      <w:numPr>
        <w:ilvl w:val="1"/>
        <w:numId w:val="1"/>
      </w:numPr>
      <w:wordWrap w:val="0"/>
      <w:topLinePunct/>
      <w:ind w:firstLine="803" w:firstLineChars="200"/>
    </w:pPr>
  </w:style>
  <w:style w:type="paragraph" w:customStyle="1" w:styleId="42">
    <w:name w:val="00、封面正文(与其他内容无关的格式)"/>
    <w:basedOn w:val="1"/>
    <w:qFormat/>
    <w:uiPriority w:val="0"/>
  </w:style>
  <w:style w:type="paragraph" w:customStyle="1" w:styleId="43">
    <w:name w:val="06、“1.”正文四级标题"/>
    <w:basedOn w:val="1"/>
    <w:link w:val="64"/>
    <w:qFormat/>
    <w:uiPriority w:val="0"/>
    <w:pPr>
      <w:numPr>
        <w:ilvl w:val="2"/>
        <w:numId w:val="1"/>
      </w:numPr>
      <w:wordWrap w:val="0"/>
      <w:topLinePunct/>
      <w:ind w:firstLine="803" w:firstLineChars="200"/>
    </w:pPr>
    <w:rPr>
      <w:snapToGrid w:val="0"/>
    </w:rPr>
  </w:style>
  <w:style w:type="paragraph" w:customStyle="1" w:styleId="44">
    <w:name w:val="07、“1.1”正文五级标题"/>
    <w:basedOn w:val="1"/>
    <w:link w:val="56"/>
    <w:qFormat/>
    <w:uiPriority w:val="0"/>
    <w:pPr>
      <w:numPr>
        <w:ilvl w:val="3"/>
        <w:numId w:val="1"/>
      </w:numPr>
      <w:ind w:firstLine="803" w:firstLineChars="200"/>
    </w:pPr>
  </w:style>
  <w:style w:type="paragraph" w:customStyle="1" w:styleId="45">
    <w:name w:val="08、“(1)”正文六级标题"/>
    <w:basedOn w:val="1"/>
    <w:link w:val="65"/>
    <w:qFormat/>
    <w:uiPriority w:val="0"/>
    <w:pPr>
      <w:numPr>
        <w:ilvl w:val="4"/>
        <w:numId w:val="1"/>
      </w:numPr>
      <w:ind w:firstLine="803" w:firstLineChars="200"/>
    </w:pPr>
    <w:rPr>
      <w:snapToGrid w:val="0"/>
    </w:rPr>
  </w:style>
  <w:style w:type="paragraph" w:customStyle="1" w:styleId="46">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7">
    <w:name w:val="10、“1.1”表格内二级标题"/>
    <w:basedOn w:val="1"/>
    <w:link w:val="55"/>
    <w:qFormat/>
    <w:uiPriority w:val="0"/>
    <w:pPr>
      <w:numPr>
        <w:ilvl w:val="1"/>
        <w:numId w:val="4"/>
      </w:numPr>
      <w:wordWrap w:val="0"/>
      <w:topLinePunct/>
      <w:spacing w:line="360" w:lineRule="exact"/>
      <w:ind w:left="48" w:leftChars="20"/>
    </w:pPr>
    <w:rPr>
      <w:snapToGrid w:val="0"/>
      <w:sz w:val="21"/>
    </w:rPr>
  </w:style>
  <w:style w:type="paragraph" w:customStyle="1" w:styleId="48">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9">
    <w:name w:val="12、表格内左对齐正文"/>
    <w:basedOn w:val="1"/>
    <w:link w:val="66"/>
    <w:qFormat/>
    <w:uiPriority w:val="0"/>
    <w:pPr>
      <w:wordWrap w:val="0"/>
      <w:topLinePunct/>
      <w:spacing w:line="360" w:lineRule="exact"/>
      <w:ind w:left="48" w:leftChars="20"/>
    </w:pPr>
    <w:rPr>
      <w:snapToGrid w:val="0"/>
      <w:sz w:val="21"/>
    </w:rPr>
  </w:style>
  <w:style w:type="paragraph" w:customStyle="1" w:styleId="50">
    <w:name w:val="20、第二章“一、”二级标题"/>
    <w:basedOn w:val="31"/>
    <w:qFormat/>
    <w:uiPriority w:val="0"/>
    <w:pPr>
      <w:numPr>
        <w:ilvl w:val="0"/>
        <w:numId w:val="5"/>
      </w:numPr>
      <w:spacing w:before="50" w:beforeLines="50" w:after="50" w:afterLines="50"/>
      <w:jc w:val="center"/>
      <w:outlineLvl w:val="1"/>
    </w:pPr>
    <w:rPr>
      <w:b/>
      <w:sz w:val="32"/>
    </w:rPr>
  </w:style>
  <w:style w:type="paragraph" w:customStyle="1" w:styleId="51">
    <w:name w:val="21、第三章“(一)”三级标题"/>
    <w:basedOn w:val="31"/>
    <w:link w:val="57"/>
    <w:qFormat/>
    <w:uiPriority w:val="0"/>
    <w:pPr>
      <w:pageBreakBefore/>
      <w:spacing w:before="50" w:beforeLines="50" w:after="50" w:afterLines="50"/>
      <w:jc w:val="center"/>
      <w:outlineLvl w:val="2"/>
    </w:pPr>
    <w:rPr>
      <w:b/>
      <w:sz w:val="28"/>
    </w:rPr>
  </w:style>
  <w:style w:type="paragraph" w:customStyle="1" w:styleId="52">
    <w:name w:val="13、表格内居中正文"/>
    <w:basedOn w:val="1"/>
    <w:qFormat/>
    <w:uiPriority w:val="0"/>
    <w:pPr>
      <w:wordWrap w:val="0"/>
      <w:topLinePunct/>
      <w:spacing w:line="360" w:lineRule="exact"/>
      <w:jc w:val="center"/>
    </w:pPr>
    <w:rPr>
      <w:sz w:val="21"/>
    </w:rPr>
  </w:style>
  <w:style w:type="paragraph" w:customStyle="1" w:styleId="53">
    <w:name w:val="03、“注：”正文(加粗，首行缩进2字符)"/>
    <w:basedOn w:val="31"/>
    <w:link w:val="61"/>
    <w:qFormat/>
    <w:uiPriority w:val="0"/>
    <w:pPr>
      <w:ind w:firstLine="480" w:firstLineChars="200"/>
    </w:pPr>
    <w:rPr>
      <w:b/>
    </w:rPr>
  </w:style>
  <w:style w:type="paragraph" w:customStyle="1" w:styleId="54">
    <w:name w:val="04“一、”正文二级标题"/>
    <w:basedOn w:val="31"/>
    <w:link w:val="63"/>
    <w:qFormat/>
    <w:uiPriority w:val="0"/>
    <w:pPr>
      <w:ind w:firstLine="803" w:firstLineChars="200"/>
    </w:pPr>
  </w:style>
  <w:style w:type="character" w:customStyle="1" w:styleId="55">
    <w:name w:val="10、“1.1”表格内二级标题 Char"/>
    <w:link w:val="47"/>
    <w:qFormat/>
    <w:uiPriority w:val="0"/>
    <w:rPr>
      <w:rFonts w:ascii="宋体" w:hAnsi="宋体" w:eastAsia="宋体"/>
      <w:snapToGrid w:val="0"/>
      <w:sz w:val="21"/>
    </w:rPr>
  </w:style>
  <w:style w:type="character" w:customStyle="1" w:styleId="56">
    <w:name w:val="07、“1.1”正文五级标题 Char"/>
    <w:link w:val="44"/>
    <w:qFormat/>
    <w:uiPriority w:val="0"/>
    <w:rPr>
      <w:rFonts w:ascii="宋体" w:hAnsi="宋体" w:eastAsia="宋体"/>
    </w:rPr>
  </w:style>
  <w:style w:type="character" w:customStyle="1" w:styleId="57">
    <w:name w:val="18、第三章“(一)”三级标题 Char"/>
    <w:link w:val="51"/>
    <w:qFormat/>
    <w:uiPriority w:val="0"/>
    <w:rPr>
      <w:rFonts w:ascii="宋体" w:hAnsi="宋体" w:cstheme="minorBidi"/>
      <w:b/>
      <w:snapToGrid w:val="0"/>
      <w:kern w:val="2"/>
      <w:sz w:val="28"/>
      <w:szCs w:val="24"/>
    </w:rPr>
  </w:style>
  <w:style w:type="character" w:customStyle="1" w:styleId="58">
    <w:name w:val="16、“(一)”三级标题 Char"/>
    <w:link w:val="33"/>
    <w:qFormat/>
    <w:uiPriority w:val="0"/>
    <w:rPr>
      <w:rFonts w:ascii="宋体" w:hAnsi="宋体" w:eastAsia="宋体"/>
      <w:b/>
    </w:rPr>
  </w:style>
  <w:style w:type="character" w:customStyle="1" w:styleId="59">
    <w:name w:val="02、首行缩进2字符正文 Char"/>
    <w:link w:val="35"/>
    <w:qFormat/>
    <w:uiPriority w:val="0"/>
    <w:rPr>
      <w:rFonts w:ascii="宋体" w:hAnsi="宋体" w:eastAsia="宋体"/>
    </w:rPr>
  </w:style>
  <w:style w:type="character" w:customStyle="1" w:styleId="60">
    <w:name w:val="01、普通正文 Char"/>
    <w:link w:val="31"/>
    <w:qFormat/>
    <w:uiPriority w:val="0"/>
    <w:rPr>
      <w:rFonts w:ascii="宋体" w:hAnsi="宋体" w:eastAsia="宋体"/>
      <w:snapToGrid w:val="0"/>
    </w:rPr>
  </w:style>
  <w:style w:type="character" w:customStyle="1" w:styleId="61">
    <w:name w:val="03、“注：”正文(加粗，首行缩进2字符) Char"/>
    <w:link w:val="53"/>
    <w:qFormat/>
    <w:uiPriority w:val="0"/>
    <w:rPr>
      <w:b/>
    </w:rPr>
  </w:style>
  <w:style w:type="character" w:customStyle="1" w:styleId="62">
    <w:name w:val="05、“(一)”正文三级标题 Char"/>
    <w:link w:val="41"/>
    <w:qFormat/>
    <w:uiPriority w:val="0"/>
    <w:rPr>
      <w:rFonts w:ascii="宋体" w:hAnsi="宋体" w:eastAsia="宋体"/>
    </w:rPr>
  </w:style>
  <w:style w:type="character" w:customStyle="1" w:styleId="63">
    <w:name w:val="04“一、”正文二级标题 Char"/>
    <w:link w:val="54"/>
    <w:qFormat/>
    <w:uiPriority w:val="0"/>
  </w:style>
  <w:style w:type="character" w:customStyle="1" w:styleId="64">
    <w:name w:val="06、“1.”正文四级标题 Char"/>
    <w:link w:val="43"/>
    <w:qFormat/>
    <w:uiPriority w:val="0"/>
    <w:rPr>
      <w:rFonts w:ascii="宋体" w:hAnsi="宋体" w:eastAsia="宋体"/>
      <w:snapToGrid w:val="0"/>
    </w:rPr>
  </w:style>
  <w:style w:type="character" w:customStyle="1" w:styleId="65">
    <w:name w:val="08、“(1)”正文六级标题 Char"/>
    <w:link w:val="45"/>
    <w:qFormat/>
    <w:uiPriority w:val="0"/>
    <w:rPr>
      <w:rFonts w:ascii="宋体" w:hAnsi="宋体" w:eastAsia="宋体"/>
      <w:snapToGrid w:val="0"/>
    </w:rPr>
  </w:style>
  <w:style w:type="character" w:customStyle="1" w:styleId="66">
    <w:name w:val="12、表格内左对齐正文 Char"/>
    <w:link w:val="49"/>
    <w:qFormat/>
    <w:uiPriority w:val="0"/>
    <w:rPr>
      <w:rFonts w:ascii="宋体" w:hAnsi="宋体" w:eastAsia="宋体"/>
      <w:snapToGrid w:val="0"/>
      <w:sz w:val="21"/>
    </w:rPr>
  </w:style>
  <w:style w:type="paragraph" w:customStyle="1" w:styleId="67">
    <w:name w:val="样式 首行缩进:  2 字符"/>
    <w:basedOn w:val="1"/>
    <w:qFormat/>
    <w:uiPriority w:val="0"/>
    <w:pPr>
      <w:spacing w:line="400" w:lineRule="exact"/>
      <w:ind w:firstLine="200" w:firstLineChars="200"/>
    </w:pPr>
    <w:rPr>
      <w:rFonts w:cs="宋体"/>
    </w:rPr>
  </w:style>
  <w:style w:type="character" w:customStyle="1" w:styleId="68">
    <w:name w:val="qxdate"/>
    <w:basedOn w:val="25"/>
    <w:qFormat/>
    <w:uiPriority w:val="0"/>
    <w:rPr>
      <w:color w:val="BA2636"/>
      <w:sz w:val="12"/>
      <w:szCs w:val="12"/>
      <w:u w:val="single"/>
    </w:rPr>
  </w:style>
  <w:style w:type="character" w:customStyle="1" w:styleId="69">
    <w:name w:val="displayarti"/>
    <w:basedOn w:val="25"/>
    <w:qFormat/>
    <w:uiPriority w:val="0"/>
    <w:rPr>
      <w:color w:val="FFFFFF"/>
      <w:shd w:val="clear" w:color="auto" w:fill="A00000"/>
    </w:rPr>
  </w:style>
  <w:style w:type="character" w:customStyle="1" w:styleId="70">
    <w:name w:val="cfdate"/>
    <w:basedOn w:val="25"/>
    <w:qFormat/>
    <w:uiPriority w:val="0"/>
    <w:rPr>
      <w:color w:val="333333"/>
      <w:sz w:val="12"/>
      <w:szCs w:val="12"/>
    </w:rPr>
  </w:style>
  <w:style w:type="character" w:customStyle="1" w:styleId="71">
    <w:name w:val="gjfg"/>
    <w:basedOn w:val="25"/>
    <w:qFormat/>
    <w:uiPriority w:val="0"/>
  </w:style>
  <w:style w:type="character" w:customStyle="1" w:styleId="72">
    <w:name w:val="redfilefwwh"/>
    <w:basedOn w:val="25"/>
    <w:qFormat/>
    <w:uiPriority w:val="0"/>
    <w:rPr>
      <w:color w:val="BA2636"/>
      <w:sz w:val="12"/>
      <w:szCs w:val="12"/>
    </w:rPr>
  </w:style>
  <w:style w:type="character" w:customStyle="1" w:styleId="73">
    <w:name w:val="redfilenumber"/>
    <w:basedOn w:val="25"/>
    <w:qFormat/>
    <w:uiPriority w:val="0"/>
    <w:rPr>
      <w:color w:val="BA2636"/>
      <w:sz w:val="12"/>
      <w:szCs w:val="12"/>
    </w:rPr>
  </w:style>
  <w:style w:type="paragraph" w:customStyle="1" w:styleId="74">
    <w:name w:val="20、第五章“(一)”三级标题"/>
    <w:basedOn w:val="31"/>
    <w:qFormat/>
    <w:uiPriority w:val="0"/>
    <w:pPr>
      <w:pageBreakBefore/>
      <w:numPr>
        <w:ilvl w:val="0"/>
        <w:numId w:val="6"/>
      </w:numPr>
      <w:spacing w:before="50" w:beforeLines="50" w:after="50" w:afterLines="50"/>
      <w:jc w:val="center"/>
      <w:outlineLvl w:val="2"/>
    </w:pPr>
    <w:rPr>
      <w:b/>
      <w:sz w:val="28"/>
    </w:rPr>
  </w:style>
  <w:style w:type="paragraph" w:styleId="75">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6">
    <w:name w:val="样式"/>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character" w:customStyle="1" w:styleId="77">
    <w:name w:val="font21"/>
    <w:basedOn w:val="25"/>
    <w:qFormat/>
    <w:uiPriority w:val="0"/>
    <w:rPr>
      <w:rFonts w:hint="eastAsia" w:ascii="宋体" w:hAnsi="宋体" w:eastAsia="宋体" w:cs="宋体"/>
      <w:color w:val="000000"/>
      <w:sz w:val="20"/>
      <w:szCs w:val="20"/>
      <w:u w:val="none"/>
    </w:rPr>
  </w:style>
  <w:style w:type="character" w:customStyle="1" w:styleId="78">
    <w:name w:val="font11"/>
    <w:basedOn w:val="25"/>
    <w:qFormat/>
    <w:uiPriority w:val="0"/>
    <w:rPr>
      <w:rFonts w:hint="eastAsia" w:ascii="宋体" w:hAnsi="宋体" w:eastAsia="宋体" w:cs="宋体"/>
      <w:color w:val="000000"/>
      <w:sz w:val="20"/>
      <w:szCs w:val="20"/>
      <w:u w:val="none"/>
    </w:rPr>
  </w:style>
  <w:style w:type="paragraph" w:customStyle="1" w:styleId="79">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80">
    <w:name w:val="批注文字 字符"/>
    <w:basedOn w:val="25"/>
    <w:link w:val="12"/>
    <w:qFormat/>
    <w:uiPriority w:val="0"/>
    <w:rPr>
      <w:rFonts w:ascii="宋体" w:hAnsi="宋体" w:cstheme="minorBidi"/>
      <w:kern w:val="2"/>
      <w:sz w:val="24"/>
      <w:szCs w:val="24"/>
    </w:rPr>
  </w:style>
  <w:style w:type="character" w:customStyle="1" w:styleId="81">
    <w:name w:val="批注主题 字符"/>
    <w:basedOn w:val="80"/>
    <w:link w:val="22"/>
    <w:qFormat/>
    <w:uiPriority w:val="0"/>
    <w:rPr>
      <w:rFonts w:ascii="宋体" w:hAnsi="宋体" w:cstheme="minorBidi"/>
      <w:b/>
      <w:bCs/>
      <w:kern w:val="2"/>
      <w:sz w:val="24"/>
      <w:szCs w:val="24"/>
    </w:rPr>
  </w:style>
  <w:style w:type="paragraph" w:customStyle="1" w:styleId="82">
    <w:name w:val="修订1"/>
    <w:hidden/>
    <w:semiHidden/>
    <w:qFormat/>
    <w:uiPriority w:val="99"/>
    <w:rPr>
      <w:rFonts w:ascii="宋体" w:hAnsi="宋体" w:eastAsia="宋体" w:cstheme="minorBidi"/>
      <w:kern w:val="2"/>
      <w:sz w:val="24"/>
      <w:szCs w:val="24"/>
      <w:lang w:val="en-US" w:eastAsia="zh-CN" w:bidi="ar-SA"/>
    </w:rPr>
  </w:style>
  <w:style w:type="character" w:customStyle="1" w:styleId="83">
    <w:name w:val="批注框文本 字符"/>
    <w:basedOn w:val="25"/>
    <w:link w:val="16"/>
    <w:qFormat/>
    <w:uiPriority w:val="0"/>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2.GIF"/><Relationship Id="rId28" Type="http://schemas.openxmlformats.org/officeDocument/2006/relationships/image" Target="media/image11.GIF"/><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microsoft.com/office/2007/relationships/hdphoto" Target="media/image3.wdp"/><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00DE7A-53E7-4C50-938F-D399E82D973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126</Pages>
  <Words>13734</Words>
  <Characters>78286</Characters>
  <Lines>652</Lines>
  <Paragraphs>183</Paragraphs>
  <TotalTime>7</TotalTime>
  <ScaleCrop>false</ScaleCrop>
  <LinksUpToDate>false</LinksUpToDate>
  <CharactersWithSpaces>91837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2021-10-26T04:14:00Z</dcterms:created>
  <dc:creator>qxzb</dc:creator>
  <cp:lastModifiedBy>111</cp:lastModifiedBy>
  <cp:lastPrinted>2021-10-26T10:10:00Z</cp:lastPrinted>
  <dcterms:modified xsi:type="dcterms:W3CDTF">2021-10-26T12:54:00Z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1FF95DF53366425891FFBC27A13D69AD</vt:lpwstr>
  </property>
  <property fmtid="{D5CDD505-2E9C-101B-9397-08002B2CF9AE}" pid="4" name="KSOSaveFontToCloudKey">
    <vt:lpwstr>307340517_btnclosed</vt:lpwstr>
  </property>
</Properties>
</file>