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2"/>
        <w:spacing w:before="120" w:beforeLines="50" w:line="360" w:lineRule="auto"/>
        <w:rPr>
          <w:b/>
          <w:bCs/>
          <w:sz w:val="40"/>
          <w:szCs w:val="40"/>
          <w:highlight w:val="none"/>
        </w:rPr>
      </w:pPr>
      <w:bookmarkStart w:id="0" w:name="_Toc5725"/>
      <w:bookmarkStart w:id="1" w:name="_Toc578"/>
      <w:bookmarkStart w:id="2" w:name="_Toc6478"/>
      <w:r>
        <w:rPr>
          <w:rFonts w:hint="eastAsia"/>
          <w:b/>
          <w:bCs/>
          <w:sz w:val="40"/>
          <w:szCs w:val="40"/>
          <w:highlight w:val="none"/>
        </w:rPr>
        <w:t xml:space="preserve">项目编号：51  </w:t>
      </w:r>
    </w:p>
    <w:p>
      <w:pPr>
        <w:pStyle w:val="42"/>
        <w:spacing w:line="360" w:lineRule="auto"/>
        <w:rPr>
          <w:b/>
          <w:bCs/>
          <w:sz w:val="40"/>
          <w:szCs w:val="40"/>
          <w:highlight w:val="none"/>
        </w:rPr>
      </w:pPr>
      <w:r>
        <w:rPr>
          <w:rFonts w:hint="eastAsia"/>
          <w:b/>
          <w:bCs/>
          <w:sz w:val="40"/>
          <w:szCs w:val="40"/>
          <w:highlight w:val="none"/>
        </w:rPr>
        <w:t>内部编号：ZCQXZB-2021-0</w:t>
      </w:r>
      <w:r>
        <w:rPr>
          <w:b/>
          <w:bCs/>
          <w:sz w:val="40"/>
          <w:szCs w:val="40"/>
          <w:highlight w:val="none"/>
        </w:rPr>
        <w:t>5</w:t>
      </w:r>
      <w:r>
        <w:rPr>
          <w:rFonts w:hint="eastAsia"/>
          <w:b/>
          <w:bCs/>
          <w:sz w:val="40"/>
          <w:szCs w:val="40"/>
          <w:highlight w:val="none"/>
        </w:rPr>
        <w:t>XXB</w:t>
      </w:r>
    </w:p>
    <w:p>
      <w:pPr>
        <w:pStyle w:val="42"/>
        <w:spacing w:line="360" w:lineRule="auto"/>
        <w:rPr>
          <w:b/>
          <w:bCs/>
          <w:sz w:val="40"/>
          <w:szCs w:val="40"/>
          <w:highlight w:val="none"/>
        </w:rPr>
      </w:pPr>
      <w:r>
        <w:rPr>
          <w:rFonts w:hint="eastAsia"/>
          <w:b/>
          <w:bCs/>
          <w:sz w:val="40"/>
          <w:szCs w:val="40"/>
          <w:highlight w:val="none"/>
        </w:rPr>
        <w:t>项目名称：成都市技师学院(成都工贸职业技术学院)城市轨道交通信号工正线联锁实训设备采购项目</w:t>
      </w:r>
    </w:p>
    <w:p>
      <w:pPr>
        <w:pStyle w:val="42"/>
        <w:spacing w:line="360" w:lineRule="auto"/>
        <w:rPr>
          <w:b/>
          <w:bCs/>
          <w:sz w:val="40"/>
          <w:szCs w:val="40"/>
          <w:highlight w:val="none"/>
        </w:rPr>
      </w:pPr>
      <w:r>
        <w:rPr>
          <w:rFonts w:hint="eastAsia"/>
          <w:b/>
          <w:bCs/>
          <w:sz w:val="40"/>
          <w:szCs w:val="40"/>
          <w:highlight w:val="none"/>
        </w:rPr>
        <w:t xml:space="preserve"> </w:t>
      </w:r>
    </w:p>
    <w:p>
      <w:pPr>
        <w:pStyle w:val="42"/>
        <w:wordWrap w:val="0"/>
        <w:topLinePunct/>
        <w:spacing w:before="2640" w:beforeLines="1100" w:after="2640" w:afterLines="1100" w:line="240" w:lineRule="auto"/>
        <w:jc w:val="center"/>
        <w:rPr>
          <w:b/>
          <w:bCs/>
          <w:sz w:val="96"/>
          <w:szCs w:val="96"/>
          <w:highlight w:val="none"/>
        </w:rPr>
      </w:pPr>
      <w:r>
        <w:rPr>
          <w:rFonts w:hint="eastAsia"/>
          <w:b/>
          <w:bCs/>
          <w:sz w:val="96"/>
          <w:szCs w:val="96"/>
          <w:highlight w:val="none"/>
        </w:rPr>
        <w:t>招标文件</w:t>
      </w:r>
    </w:p>
    <w:p>
      <w:pPr>
        <w:pStyle w:val="42"/>
        <w:spacing w:line="360" w:lineRule="auto"/>
        <w:jc w:val="center"/>
        <w:rPr>
          <w:b/>
          <w:bCs/>
          <w:sz w:val="28"/>
          <w:szCs w:val="28"/>
          <w:highlight w:val="none"/>
        </w:rPr>
      </w:pPr>
      <w:r>
        <w:rPr>
          <w:rFonts w:hint="eastAsia"/>
          <w:b/>
          <w:bCs/>
          <w:sz w:val="28"/>
          <w:szCs w:val="28"/>
          <w:highlight w:val="none"/>
        </w:rPr>
        <w:t>中国·四川</w:t>
      </w:r>
    </w:p>
    <w:p>
      <w:pPr>
        <w:pStyle w:val="42"/>
        <w:spacing w:line="360" w:lineRule="auto"/>
        <w:ind w:left="2400" w:leftChars="1000"/>
        <w:rPr>
          <w:b/>
          <w:bCs/>
          <w:sz w:val="28"/>
          <w:szCs w:val="28"/>
          <w:highlight w:val="none"/>
        </w:rPr>
      </w:pPr>
      <w:r>
        <w:rPr>
          <w:rFonts w:hint="eastAsia"/>
          <w:b/>
          <w:bCs/>
          <w:sz w:val="28"/>
          <w:szCs w:val="28"/>
          <w:highlight w:val="none"/>
        </w:rPr>
        <w:t xml:space="preserve">采   购   人：成都市技师学院         </w:t>
      </w:r>
    </w:p>
    <w:p>
      <w:pPr>
        <w:pStyle w:val="42"/>
        <w:spacing w:line="360" w:lineRule="auto"/>
        <w:ind w:left="2400" w:leftChars="1000"/>
        <w:rPr>
          <w:b/>
          <w:bCs/>
          <w:sz w:val="28"/>
          <w:szCs w:val="28"/>
          <w:highlight w:val="none"/>
        </w:rPr>
      </w:pPr>
      <w:r>
        <w:rPr>
          <w:rFonts w:hint="eastAsia"/>
          <w:b/>
          <w:bCs/>
          <w:sz w:val="28"/>
          <w:szCs w:val="28"/>
          <w:highlight w:val="none"/>
        </w:rPr>
        <w:t>采购代理机构：四川乾新招投标代理有限公司</w:t>
      </w:r>
    </w:p>
    <w:p>
      <w:pPr>
        <w:pStyle w:val="42"/>
        <w:spacing w:line="360" w:lineRule="auto"/>
        <w:ind w:left="2400" w:leftChars="1000"/>
        <w:rPr>
          <w:b/>
          <w:bCs/>
          <w:sz w:val="28"/>
          <w:szCs w:val="28"/>
          <w:highlight w:val="none"/>
        </w:rPr>
      </w:pPr>
      <w:r>
        <w:rPr>
          <w:rFonts w:hint="eastAsia"/>
          <w:b/>
          <w:bCs/>
          <w:sz w:val="28"/>
          <w:szCs w:val="28"/>
          <w:highlight w:val="none"/>
        </w:rPr>
        <w:t>文  件 编 制：由采购人和采购代理机构共同编制</w:t>
      </w:r>
    </w:p>
    <w:p>
      <w:pPr>
        <w:pStyle w:val="42"/>
        <w:spacing w:line="360" w:lineRule="auto"/>
        <w:jc w:val="center"/>
        <w:rPr>
          <w:b/>
          <w:bCs/>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0" w:num="1"/>
          <w:titlePg/>
          <w:docGrid w:linePitch="312" w:charSpace="0"/>
        </w:sectPr>
      </w:pPr>
      <w:r>
        <w:rPr>
          <w:rFonts w:hint="eastAsia"/>
          <w:b/>
          <w:bCs/>
          <w:sz w:val="28"/>
          <w:szCs w:val="28"/>
          <w:highlight w:val="none"/>
        </w:rPr>
        <w:t>2021年10月</w:t>
      </w:r>
    </w:p>
    <w:p>
      <w:pPr>
        <w:pStyle w:val="42"/>
        <w:spacing w:line="240" w:lineRule="auto"/>
        <w:jc w:val="center"/>
        <w:rPr>
          <w:b/>
          <w:bCs/>
          <w:sz w:val="40"/>
          <w:szCs w:val="40"/>
          <w:highlight w:val="none"/>
        </w:rPr>
      </w:pPr>
      <w:bookmarkStart w:id="3" w:name="_Toc452473646"/>
      <w:bookmarkStart w:id="4" w:name="_Toc502651262"/>
      <w:bookmarkStart w:id="5" w:name="_Toc371958974"/>
      <w:bookmarkStart w:id="6" w:name="_Toc336690878"/>
      <w:bookmarkStart w:id="7" w:name="_Toc372620750"/>
      <w:bookmarkStart w:id="8" w:name="_Toc373139265"/>
      <w:r>
        <w:rPr>
          <w:rFonts w:hint="eastAsia"/>
          <w:b/>
          <w:bCs/>
          <w:sz w:val="40"/>
          <w:szCs w:val="40"/>
          <w:highlight w:val="none"/>
        </w:rPr>
        <w:t>政府采购阳光宣言</w:t>
      </w:r>
      <w:bookmarkEnd w:id="3"/>
      <w:bookmarkEnd w:id="4"/>
    </w:p>
    <w:p>
      <w:pPr>
        <w:pStyle w:val="42"/>
        <w:ind w:firstLine="480" w:firstLineChars="200"/>
        <w:rPr>
          <w:highlight w:val="none"/>
        </w:rPr>
      </w:pPr>
      <w:r>
        <w:rPr>
          <w:rFonts w:hint="eastAsia"/>
          <w:highlight w:val="none"/>
        </w:rPr>
        <w:t>四川乾新践行公平竞争、诚信的核心价值观，诚信于股东、诚信于服务对象、诚信于员工、诚信于社会。</w:t>
      </w:r>
    </w:p>
    <w:p>
      <w:pPr>
        <w:pStyle w:val="42"/>
        <w:ind w:firstLine="480" w:firstLineChars="200"/>
        <w:rPr>
          <w:highlight w:val="none"/>
        </w:rPr>
      </w:pPr>
      <w:r>
        <w:rPr>
          <w:rFonts w:hint="eastAsia"/>
          <w:highlight w:val="none"/>
        </w:rPr>
        <w:t>四川乾新全体员工严格遵守《乾新十戒》和《员工廉洁从业规定》，遵纪守法，强化自律，廉洁从业，规范经营。</w:t>
      </w:r>
    </w:p>
    <w:p>
      <w:pPr>
        <w:pStyle w:val="42"/>
        <w:ind w:firstLine="480" w:firstLineChars="200"/>
        <w:rPr>
          <w:highlight w:val="none"/>
        </w:rPr>
      </w:pPr>
      <w:r>
        <w:rPr>
          <w:rFonts w:hint="eastAsia"/>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2"/>
        <w:ind w:firstLine="480" w:firstLineChars="200"/>
        <w:rPr>
          <w:highlight w:val="none"/>
        </w:rPr>
      </w:pPr>
      <w:r>
        <w:rPr>
          <w:rFonts w:hint="eastAsia"/>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3"/>
        <w:ind w:firstLine="480"/>
        <w:rPr>
          <w:highlight w:val="none"/>
        </w:rPr>
      </w:pPr>
      <w:r>
        <w:rPr>
          <w:rFonts w:hint="eastAsia"/>
          <w:highlight w:val="none"/>
        </w:rPr>
        <w:t>四川乾新不以向采购人及其亲属提供任何个人利益的方式谋求合作关系；</w:t>
      </w:r>
    </w:p>
    <w:p>
      <w:pPr>
        <w:pStyle w:val="43"/>
        <w:ind w:firstLine="480"/>
        <w:rPr>
          <w:highlight w:val="none"/>
        </w:rPr>
      </w:pPr>
      <w:r>
        <w:rPr>
          <w:rFonts w:hint="eastAsia"/>
          <w:highlight w:val="none"/>
        </w:rPr>
        <w:t xml:space="preserve">四川乾新不迷信任何实际存在的或虚构的所谓关系； </w:t>
      </w:r>
    </w:p>
    <w:p>
      <w:pPr>
        <w:pStyle w:val="43"/>
        <w:ind w:firstLine="480"/>
        <w:rPr>
          <w:highlight w:val="none"/>
        </w:rPr>
      </w:pPr>
      <w:r>
        <w:rPr>
          <w:rFonts w:hint="eastAsia"/>
          <w:highlight w:val="none"/>
        </w:rPr>
        <w:t>四川乾新不采取恶性竞争等不正当手段竞争业务；</w:t>
      </w:r>
    </w:p>
    <w:p>
      <w:pPr>
        <w:pStyle w:val="43"/>
        <w:ind w:firstLine="480"/>
        <w:rPr>
          <w:highlight w:val="none"/>
        </w:rPr>
      </w:pPr>
      <w:r>
        <w:rPr>
          <w:rFonts w:hint="eastAsia"/>
          <w:highlight w:val="none"/>
        </w:rPr>
        <w:t>四川乾新不向采购人提供好处费、回扣、现金及有价证券、支付凭证、贵重礼物；</w:t>
      </w:r>
    </w:p>
    <w:p>
      <w:pPr>
        <w:pStyle w:val="43"/>
        <w:ind w:firstLine="480"/>
        <w:rPr>
          <w:highlight w:val="none"/>
        </w:rPr>
      </w:pPr>
      <w:r>
        <w:rPr>
          <w:rFonts w:hint="eastAsia"/>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3"/>
        <w:ind w:firstLine="480"/>
        <w:rPr>
          <w:highlight w:val="none"/>
        </w:rPr>
      </w:pPr>
      <w:r>
        <w:rPr>
          <w:rFonts w:hint="eastAsia"/>
          <w:highlight w:val="none"/>
        </w:rPr>
        <w:t>供应商在参与项目时公平竞争，充分发挥市场主体作用，降低采购成本，节约采购资金；</w:t>
      </w:r>
    </w:p>
    <w:p>
      <w:pPr>
        <w:pStyle w:val="43"/>
        <w:ind w:firstLine="480"/>
        <w:rPr>
          <w:highlight w:val="none"/>
        </w:rPr>
      </w:pPr>
      <w:r>
        <w:rPr>
          <w:rFonts w:hint="eastAsia"/>
          <w:highlight w:val="none"/>
        </w:rPr>
        <w:t>四川乾新不与采购人、供应商串通投标；</w:t>
      </w:r>
    </w:p>
    <w:p>
      <w:pPr>
        <w:pStyle w:val="43"/>
        <w:ind w:firstLine="480"/>
        <w:rPr>
          <w:highlight w:val="none"/>
        </w:rPr>
      </w:pPr>
      <w:r>
        <w:rPr>
          <w:rFonts w:hint="eastAsia"/>
          <w:highlight w:val="none"/>
        </w:rPr>
        <w:t>四川乾新、采购人不与供应商就标底、其他单位的投标书等商业秘密及合同中的质量、价格、验收等条款进行私下商谈或者达成默契；</w:t>
      </w:r>
    </w:p>
    <w:p>
      <w:pPr>
        <w:pStyle w:val="43"/>
        <w:ind w:firstLine="480"/>
        <w:rPr>
          <w:highlight w:val="none"/>
        </w:rPr>
      </w:pPr>
      <w:r>
        <w:rPr>
          <w:rFonts w:hint="eastAsia"/>
          <w:highlight w:val="none"/>
        </w:rPr>
        <w:t>四川乾新坚决杜绝以下行为：①乾新员工有行贿倾向、建议等行为；②乾新员工有索贿、受贿等行为。</w:t>
      </w:r>
    </w:p>
    <w:p>
      <w:pPr>
        <w:pStyle w:val="42"/>
        <w:ind w:firstLine="480" w:firstLineChars="200"/>
        <w:rPr>
          <w:highlight w:val="none"/>
        </w:rPr>
      </w:pPr>
      <w:r>
        <w:rPr>
          <w:rFonts w:hint="eastAsia"/>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廉洁、公正、诚实信用的政采环境，共同推动政府采购阳光公开。 </w:t>
      </w:r>
    </w:p>
    <w:p>
      <w:pPr>
        <w:pStyle w:val="42"/>
        <w:ind w:firstLine="480" w:firstLineChars="200"/>
        <w:rPr>
          <w:highlight w:val="none"/>
        </w:rPr>
      </w:pPr>
      <w:r>
        <w:rPr>
          <w:rFonts w:hint="eastAsia"/>
          <w:highlight w:val="none"/>
        </w:rPr>
        <w:t>监察部投诉及举报邮箱：scqxzb_shl@163.com</w:t>
      </w:r>
    </w:p>
    <w:p>
      <w:pPr>
        <w:pStyle w:val="42"/>
        <w:ind w:firstLine="480" w:firstLineChars="200"/>
        <w:rPr>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0" w:num="1"/>
          <w:titlePg/>
          <w:docGrid w:linePitch="312" w:charSpace="0"/>
        </w:sectPr>
      </w:pPr>
      <w:r>
        <w:rPr>
          <w:rFonts w:hint="eastAsia"/>
          <w:highlight w:val="none"/>
        </w:rPr>
        <w:t>监察部投诉及举报电话：028-62630990</w:t>
      </w:r>
      <w:bookmarkEnd w:id="5"/>
      <w:bookmarkEnd w:id="6"/>
      <w:bookmarkEnd w:id="7"/>
      <w:bookmarkEnd w:id="8"/>
    </w:p>
    <w:p>
      <w:pPr>
        <w:pStyle w:val="42"/>
        <w:jc w:val="center"/>
        <w:rPr>
          <w:highlight w:val="none"/>
        </w:rPr>
      </w:pPr>
      <w:r>
        <w:rPr>
          <w:rFonts w:hint="eastAsia"/>
          <w:highlight w:val="none"/>
        </w:rPr>
        <w:t>目  录</w:t>
      </w:r>
      <w:bookmarkEnd w:id="0"/>
      <w:bookmarkEnd w:id="1"/>
    </w:p>
    <w:p>
      <w:pPr>
        <w:pStyle w:val="17"/>
        <w:tabs>
          <w:tab w:val="right" w:leader="dot" w:pos="9740"/>
          <w:tab w:val="clear" w:pos="0"/>
          <w:tab w:val="clear" w:pos="9746"/>
        </w:tabs>
      </w:pPr>
      <w:bookmarkStart w:id="9" w:name="_Toc26242"/>
      <w:bookmarkStart w:id="10" w:name="_Toc15794"/>
      <w:bookmarkStart w:id="11" w:name="_Toc28748"/>
      <w:r>
        <w:rPr>
          <w:highlight w:val="none"/>
        </w:rPr>
        <w:fldChar w:fldCharType="begin"/>
      </w:r>
      <w:r>
        <w:rPr>
          <w:highlight w:val="none"/>
        </w:rPr>
        <w:instrText xml:space="preserve">TOC \o "1-3" \h \u </w:instrText>
      </w:r>
      <w:r>
        <w:rPr>
          <w:highlight w:val="none"/>
        </w:rPr>
        <w:fldChar w:fldCharType="separate"/>
      </w:r>
      <w:r>
        <w:rPr>
          <w:highlight w:val="none"/>
        </w:rPr>
        <w:fldChar w:fldCharType="begin"/>
      </w:r>
      <w:r>
        <w:rPr>
          <w:highlight w:val="none"/>
        </w:rPr>
        <w:instrText xml:space="preserve"> HYPERLINK \l _Toc5927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_Toc5927 \h </w:instrText>
      </w:r>
      <w:r>
        <w:fldChar w:fldCharType="separate"/>
      </w:r>
      <w:r>
        <w:t>5</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_Toc25408 </w:instrText>
      </w:r>
      <w:r>
        <w:rPr>
          <w:highlight w:val="none"/>
        </w:rPr>
        <w:fldChar w:fldCharType="separate"/>
      </w:r>
      <w:r>
        <w:rPr>
          <w:rFonts w:hint="eastAsia" w:ascii="宋体" w:hAnsi="宋体" w:eastAsia="宋体" w:cs="宋体"/>
        </w:rPr>
        <w:t xml:space="preserve">第二章 </w:t>
      </w:r>
      <w:r>
        <w:rPr>
          <w:rFonts w:hint="eastAsia"/>
          <w:highlight w:val="none"/>
        </w:rPr>
        <w:t>投标人须知</w:t>
      </w:r>
      <w:r>
        <w:tab/>
      </w:r>
      <w:r>
        <w:fldChar w:fldCharType="begin"/>
      </w:r>
      <w:r>
        <w:instrText xml:space="preserve"> PAGEREF _Toc25408 \h </w:instrText>
      </w:r>
      <w:r>
        <w:fldChar w:fldCharType="separate"/>
      </w:r>
      <w:r>
        <w:t>8</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_Toc27864 </w:instrText>
      </w:r>
      <w:r>
        <w:rPr>
          <w:highlight w:val="none"/>
        </w:rPr>
        <w:fldChar w:fldCharType="separate"/>
      </w:r>
      <w:r>
        <w:rPr>
          <w:rFonts w:hint="eastAsia"/>
        </w:rPr>
        <w:t xml:space="preserve">一、 </w:t>
      </w:r>
      <w:r>
        <w:rPr>
          <w:rFonts w:hint="eastAsia"/>
          <w:highlight w:val="none"/>
        </w:rPr>
        <w:t>投标人须知前附表</w:t>
      </w:r>
      <w:r>
        <w:tab/>
      </w:r>
      <w:r>
        <w:fldChar w:fldCharType="begin"/>
      </w:r>
      <w:r>
        <w:instrText xml:space="preserve"> PAGEREF _Toc27864 \h </w:instrText>
      </w:r>
      <w:r>
        <w:fldChar w:fldCharType="separate"/>
      </w:r>
      <w:r>
        <w:t>8</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_Toc27096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_Toc27096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_Toc15148 </w:instrText>
      </w:r>
      <w:r>
        <w:rPr>
          <w:highlight w:val="none"/>
        </w:rPr>
        <w:fldChar w:fldCharType="separate"/>
      </w:r>
      <w:r>
        <w:rPr>
          <w:rFonts w:hint="eastAsia" w:ascii="宋体" w:hAnsi="宋体" w:eastAsia="宋体" w:cs="宋体"/>
        </w:rPr>
        <w:t xml:space="preserve">(一) </w:t>
      </w:r>
      <w:r>
        <w:rPr>
          <w:rFonts w:hint="eastAsia" w:cs="宋体"/>
          <w:highlight w:val="none"/>
        </w:rPr>
        <w:t>适用范围</w:t>
      </w:r>
      <w:r>
        <w:tab/>
      </w:r>
      <w:r>
        <w:fldChar w:fldCharType="begin"/>
      </w:r>
      <w:r>
        <w:instrText xml:space="preserve"> PAGEREF _Toc15148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_Toc27943 </w:instrText>
      </w:r>
      <w:r>
        <w:rPr>
          <w:highlight w:val="none"/>
        </w:rPr>
        <w:fldChar w:fldCharType="separate"/>
      </w:r>
      <w:r>
        <w:rPr>
          <w:rFonts w:hint="eastAsia" w:ascii="宋体" w:hAnsi="宋体" w:eastAsia="宋体" w:cs="宋体"/>
        </w:rPr>
        <w:t xml:space="preserve">(二) </w:t>
      </w:r>
      <w:r>
        <w:rPr>
          <w:rFonts w:hint="eastAsia" w:cs="宋体"/>
          <w:highlight w:val="none"/>
        </w:rPr>
        <w:t>有关定义</w:t>
      </w:r>
      <w:r>
        <w:tab/>
      </w:r>
      <w:r>
        <w:fldChar w:fldCharType="begin"/>
      </w:r>
      <w:r>
        <w:instrText xml:space="preserve"> PAGEREF _Toc27943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_Toc10369 </w:instrText>
      </w:r>
      <w:r>
        <w:rPr>
          <w:highlight w:val="none"/>
        </w:rPr>
        <w:fldChar w:fldCharType="separate"/>
      </w:r>
      <w:r>
        <w:rPr>
          <w:rFonts w:hint="eastAsia" w:ascii="宋体" w:hAnsi="宋体" w:eastAsia="宋体" w:cs="宋体"/>
        </w:rPr>
        <w:t xml:space="preserve">(三) </w:t>
      </w:r>
      <w:r>
        <w:rPr>
          <w:rFonts w:hint="eastAsia" w:cs="宋体"/>
          <w:highlight w:val="none"/>
        </w:rPr>
        <w:t>合格的投标人(实质性要求)</w:t>
      </w:r>
      <w:r>
        <w:tab/>
      </w:r>
      <w:r>
        <w:fldChar w:fldCharType="begin"/>
      </w:r>
      <w:r>
        <w:instrText xml:space="preserve"> PAGEREF _Toc10369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_Toc30977 </w:instrText>
      </w:r>
      <w:r>
        <w:rPr>
          <w:highlight w:val="none"/>
        </w:rPr>
        <w:fldChar w:fldCharType="separate"/>
      </w:r>
      <w:r>
        <w:rPr>
          <w:rFonts w:hint="eastAsia" w:ascii="宋体" w:hAnsi="宋体" w:eastAsia="宋体" w:cs="宋体"/>
        </w:rPr>
        <w:t xml:space="preserve">(四) </w:t>
      </w:r>
      <w:r>
        <w:rPr>
          <w:rFonts w:hint="eastAsia" w:cs="宋体"/>
          <w:highlight w:val="none"/>
        </w:rPr>
        <w:t>投标费用(实质性要求)</w:t>
      </w:r>
      <w:r>
        <w:tab/>
      </w:r>
      <w:r>
        <w:fldChar w:fldCharType="begin"/>
      </w:r>
      <w:r>
        <w:instrText xml:space="preserve"> PAGEREF _Toc30977 \h </w:instrText>
      </w:r>
      <w:r>
        <w:fldChar w:fldCharType="separate"/>
      </w:r>
      <w:r>
        <w:t>14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_Toc23684 </w:instrText>
      </w:r>
      <w:r>
        <w:rPr>
          <w:highlight w:val="none"/>
        </w:rPr>
        <w:fldChar w:fldCharType="separate"/>
      </w:r>
      <w:r>
        <w:rPr>
          <w:rFonts w:hint="eastAsia" w:ascii="宋体" w:hAnsi="宋体" w:eastAsia="宋体" w:cs="宋体"/>
        </w:rPr>
        <w:t xml:space="preserve">(五) </w:t>
      </w:r>
      <w:r>
        <w:rPr>
          <w:rFonts w:hint="eastAsia" w:cs="宋体"/>
          <w:highlight w:val="none"/>
        </w:rPr>
        <w:t>充分、公平竞争保障措施(实质性要求)</w:t>
      </w:r>
      <w:r>
        <w:tab/>
      </w:r>
      <w:r>
        <w:fldChar w:fldCharType="begin"/>
      </w:r>
      <w:r>
        <w:instrText xml:space="preserve"> PAGEREF _Toc23684 \h </w:instrText>
      </w:r>
      <w:r>
        <w:fldChar w:fldCharType="separate"/>
      </w:r>
      <w:r>
        <w:t>14</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_Toc23781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_Toc23781 \h </w:instrText>
      </w:r>
      <w:r>
        <w:fldChar w:fldCharType="separate"/>
      </w:r>
      <w:r>
        <w:t>15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_Toc7474 </w:instrText>
      </w:r>
      <w:r>
        <w:rPr>
          <w:highlight w:val="none"/>
        </w:rPr>
        <w:fldChar w:fldCharType="separate"/>
      </w:r>
      <w:r>
        <w:rPr>
          <w:rFonts w:hint="eastAsia" w:ascii="宋体" w:hAnsi="宋体" w:eastAsia="宋体" w:cs="宋体"/>
        </w:rPr>
        <w:t xml:space="preserve">(一) </w:t>
      </w:r>
      <w:r>
        <w:rPr>
          <w:rFonts w:hint="eastAsia" w:cs="宋体"/>
          <w:highlight w:val="none"/>
        </w:rPr>
        <w:t>招标文件的构成</w:t>
      </w:r>
      <w:r>
        <w:tab/>
      </w:r>
      <w:r>
        <w:fldChar w:fldCharType="begin"/>
      </w:r>
      <w:r>
        <w:instrText xml:space="preserve"> PAGEREF _Toc7474 \h </w:instrText>
      </w:r>
      <w:r>
        <w:fldChar w:fldCharType="separate"/>
      </w:r>
      <w:r>
        <w:t>15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_Toc4461 </w:instrText>
      </w:r>
      <w:r>
        <w:rPr>
          <w:highlight w:val="none"/>
        </w:rPr>
        <w:fldChar w:fldCharType="separate"/>
      </w:r>
      <w:r>
        <w:rPr>
          <w:rFonts w:hint="eastAsia" w:ascii="宋体" w:hAnsi="宋体" w:eastAsia="宋体" w:cs="宋体"/>
        </w:rPr>
        <w:t xml:space="preserve">(二) </w:t>
      </w:r>
      <w:r>
        <w:rPr>
          <w:rFonts w:hint="eastAsia" w:cs="宋体"/>
          <w:highlight w:val="none"/>
        </w:rPr>
        <w:t>招标文件的澄清和修改</w:t>
      </w:r>
      <w:r>
        <w:tab/>
      </w:r>
      <w:r>
        <w:fldChar w:fldCharType="begin"/>
      </w:r>
      <w:r>
        <w:instrText xml:space="preserve"> PAGEREF _Toc4461 \h </w:instrText>
      </w:r>
      <w:r>
        <w:fldChar w:fldCharType="separate"/>
      </w:r>
      <w:r>
        <w:t>16</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_Toc26888 </w:instrText>
      </w:r>
      <w:r>
        <w:rPr>
          <w:highlight w:val="none"/>
        </w:rPr>
        <w:fldChar w:fldCharType="separate"/>
      </w:r>
      <w:r>
        <w:rPr>
          <w:rFonts w:hint="eastAsia" w:ascii="宋体" w:hAnsi="宋体" w:eastAsia="宋体" w:cs="宋体"/>
        </w:rPr>
        <w:t xml:space="preserve">(三) </w:t>
      </w:r>
      <w:r>
        <w:rPr>
          <w:rFonts w:hint="eastAsia" w:cs="宋体"/>
          <w:highlight w:val="none"/>
        </w:rPr>
        <w:t>答疑会和现场考察</w:t>
      </w:r>
      <w:r>
        <w:tab/>
      </w:r>
      <w:r>
        <w:fldChar w:fldCharType="begin"/>
      </w:r>
      <w:r>
        <w:instrText xml:space="preserve"> PAGEREF _Toc26888 \h </w:instrText>
      </w:r>
      <w:r>
        <w:fldChar w:fldCharType="separate"/>
      </w:r>
      <w:r>
        <w:t>17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_Toc2627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_Toc2627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_Toc8098 </w:instrText>
      </w:r>
      <w:r>
        <w:rPr>
          <w:highlight w:val="none"/>
        </w:rPr>
        <w:fldChar w:fldCharType="separate"/>
      </w:r>
      <w:r>
        <w:rPr>
          <w:rFonts w:hint="eastAsia" w:ascii="宋体" w:hAnsi="宋体" w:eastAsia="宋体" w:cs="宋体"/>
        </w:rPr>
        <w:t xml:space="preserve">(一) </w:t>
      </w:r>
      <w:r>
        <w:rPr>
          <w:rFonts w:hint="eastAsia" w:cs="宋体"/>
          <w:highlight w:val="none"/>
        </w:rPr>
        <w:t>投标文件的语言(实质性要求)</w:t>
      </w:r>
      <w:r>
        <w:tab/>
      </w:r>
      <w:r>
        <w:fldChar w:fldCharType="begin"/>
      </w:r>
      <w:r>
        <w:instrText xml:space="preserve"> PAGEREF _Toc8098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_Toc24770 </w:instrText>
      </w:r>
      <w:r>
        <w:rPr>
          <w:highlight w:val="none"/>
        </w:rPr>
        <w:fldChar w:fldCharType="separate"/>
      </w:r>
      <w:r>
        <w:rPr>
          <w:rFonts w:hint="eastAsia" w:ascii="宋体" w:hAnsi="宋体" w:eastAsia="宋体" w:cs="宋体"/>
        </w:rPr>
        <w:t xml:space="preserve">(二) </w:t>
      </w:r>
      <w:r>
        <w:rPr>
          <w:rFonts w:hint="eastAsia" w:cs="宋体"/>
          <w:highlight w:val="none"/>
        </w:rPr>
        <w:t>计量单位(实质性要求)</w:t>
      </w:r>
      <w:r>
        <w:tab/>
      </w:r>
      <w:r>
        <w:fldChar w:fldCharType="begin"/>
      </w:r>
      <w:r>
        <w:instrText xml:space="preserve"> PAGEREF _Toc24770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_Toc5205 </w:instrText>
      </w:r>
      <w:r>
        <w:rPr>
          <w:highlight w:val="none"/>
        </w:rPr>
        <w:fldChar w:fldCharType="separate"/>
      </w:r>
      <w:r>
        <w:rPr>
          <w:rFonts w:hint="eastAsia" w:ascii="宋体" w:hAnsi="宋体" w:eastAsia="宋体" w:cs="宋体"/>
        </w:rPr>
        <w:t xml:space="preserve">(三) </w:t>
      </w:r>
      <w:r>
        <w:rPr>
          <w:rFonts w:hint="eastAsia" w:cs="宋体"/>
          <w:highlight w:val="none"/>
        </w:rPr>
        <w:t>投标货币(实质性要求)</w:t>
      </w:r>
      <w:r>
        <w:tab/>
      </w:r>
      <w:r>
        <w:fldChar w:fldCharType="begin"/>
      </w:r>
      <w:r>
        <w:instrText xml:space="preserve"> PAGEREF _Toc5205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_Toc25780 </w:instrText>
      </w:r>
      <w:r>
        <w:rPr>
          <w:highlight w:val="none"/>
        </w:rPr>
        <w:fldChar w:fldCharType="separate"/>
      </w:r>
      <w:r>
        <w:rPr>
          <w:rFonts w:hint="eastAsia" w:ascii="宋体" w:hAnsi="宋体" w:eastAsia="宋体" w:cs="宋体"/>
        </w:rPr>
        <w:t xml:space="preserve">(四) </w:t>
      </w:r>
      <w:r>
        <w:rPr>
          <w:rFonts w:hint="eastAsia" w:cs="宋体"/>
          <w:highlight w:val="none"/>
        </w:rPr>
        <w:t>联合体投标(实质性要求)</w:t>
      </w:r>
      <w:r>
        <w:tab/>
      </w:r>
      <w:r>
        <w:fldChar w:fldCharType="begin"/>
      </w:r>
      <w:r>
        <w:instrText xml:space="preserve"> PAGEREF _Toc25780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_Toc643 </w:instrText>
      </w:r>
      <w:r>
        <w:rPr>
          <w:highlight w:val="none"/>
        </w:rPr>
        <w:fldChar w:fldCharType="separate"/>
      </w:r>
      <w:r>
        <w:rPr>
          <w:rFonts w:hint="eastAsia" w:ascii="宋体" w:hAnsi="宋体" w:eastAsia="宋体" w:cs="宋体"/>
        </w:rPr>
        <w:t xml:space="preserve">(五) </w:t>
      </w:r>
      <w:r>
        <w:rPr>
          <w:rFonts w:hint="eastAsia" w:cs="宋体"/>
          <w:highlight w:val="none"/>
        </w:rPr>
        <w:t>知识产权(实质性要求)</w:t>
      </w:r>
      <w:r>
        <w:tab/>
      </w:r>
      <w:r>
        <w:fldChar w:fldCharType="begin"/>
      </w:r>
      <w:r>
        <w:instrText xml:space="preserve"> PAGEREF _Toc643 \h </w:instrText>
      </w:r>
      <w:r>
        <w:fldChar w:fldCharType="separate"/>
      </w:r>
      <w:r>
        <w:t>17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_Toc19390 </w:instrText>
      </w:r>
      <w:r>
        <w:rPr>
          <w:highlight w:val="none"/>
        </w:rPr>
        <w:fldChar w:fldCharType="separate"/>
      </w:r>
      <w:r>
        <w:rPr>
          <w:rFonts w:hint="eastAsia" w:ascii="宋体" w:hAnsi="宋体" w:eastAsia="宋体" w:cs="宋体"/>
        </w:rPr>
        <w:t xml:space="preserve">(六) </w:t>
      </w:r>
      <w:r>
        <w:rPr>
          <w:rFonts w:hint="eastAsia" w:cs="宋体"/>
          <w:highlight w:val="none"/>
        </w:rPr>
        <w:t>投标文件的组成</w:t>
      </w:r>
      <w:r>
        <w:tab/>
      </w:r>
      <w:r>
        <w:fldChar w:fldCharType="begin"/>
      </w:r>
      <w:r>
        <w:instrText xml:space="preserve"> PAGEREF _Toc19390 \h </w:instrText>
      </w:r>
      <w:r>
        <w:fldChar w:fldCharType="separate"/>
      </w:r>
      <w:r>
        <w:t>18</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_Toc22980 </w:instrText>
      </w:r>
      <w:r>
        <w:rPr>
          <w:highlight w:val="none"/>
        </w:rPr>
        <w:fldChar w:fldCharType="separate"/>
      </w:r>
      <w:r>
        <w:rPr>
          <w:rFonts w:hint="eastAsia" w:ascii="宋体" w:hAnsi="宋体" w:eastAsia="宋体" w:cs="宋体"/>
        </w:rPr>
        <w:t xml:space="preserve">(七) </w:t>
      </w:r>
      <w:r>
        <w:rPr>
          <w:rFonts w:hint="eastAsia" w:cs="宋体"/>
          <w:highlight w:val="none"/>
        </w:rPr>
        <w:t>投标文件格式</w:t>
      </w:r>
      <w:r>
        <w:tab/>
      </w:r>
      <w:r>
        <w:fldChar w:fldCharType="begin"/>
      </w:r>
      <w:r>
        <w:instrText xml:space="preserve"> PAGEREF _Toc22980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_Toc15744 </w:instrText>
      </w:r>
      <w:r>
        <w:rPr>
          <w:highlight w:val="none"/>
        </w:rPr>
        <w:fldChar w:fldCharType="separate"/>
      </w:r>
      <w:r>
        <w:rPr>
          <w:rFonts w:hint="eastAsia" w:ascii="宋体" w:hAnsi="宋体" w:eastAsia="宋体" w:cs="宋体"/>
        </w:rPr>
        <w:t xml:space="preserve">(八) </w:t>
      </w:r>
      <w:r>
        <w:rPr>
          <w:rFonts w:hint="eastAsia" w:cs="宋体"/>
          <w:highlight w:val="none"/>
        </w:rPr>
        <w:t>投标保证金</w:t>
      </w:r>
      <w:r>
        <w:tab/>
      </w:r>
      <w:r>
        <w:fldChar w:fldCharType="begin"/>
      </w:r>
      <w:r>
        <w:instrText xml:space="preserve"> PAGEREF _Toc15744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_Toc18451 </w:instrText>
      </w:r>
      <w:r>
        <w:rPr>
          <w:highlight w:val="none"/>
        </w:rPr>
        <w:fldChar w:fldCharType="separate"/>
      </w:r>
      <w:r>
        <w:rPr>
          <w:rFonts w:hint="eastAsia" w:ascii="宋体" w:hAnsi="宋体" w:eastAsia="宋体" w:cs="宋体"/>
        </w:rPr>
        <w:t xml:space="preserve">(九) </w:t>
      </w:r>
      <w:r>
        <w:rPr>
          <w:rFonts w:hint="eastAsia" w:cs="宋体"/>
          <w:highlight w:val="none"/>
        </w:rPr>
        <w:t>投标有效期(实质性要求)</w:t>
      </w:r>
      <w:r>
        <w:tab/>
      </w:r>
      <w:r>
        <w:fldChar w:fldCharType="begin"/>
      </w:r>
      <w:r>
        <w:instrText xml:space="preserve"> PAGEREF _Toc18451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_Toc10616 </w:instrText>
      </w:r>
      <w:r>
        <w:rPr>
          <w:highlight w:val="none"/>
        </w:rPr>
        <w:fldChar w:fldCharType="separate"/>
      </w:r>
      <w:r>
        <w:rPr>
          <w:rFonts w:hint="eastAsia" w:ascii="宋体" w:hAnsi="宋体" w:eastAsia="宋体" w:cs="宋体"/>
        </w:rPr>
        <w:t xml:space="preserve">(十) </w:t>
      </w:r>
      <w:r>
        <w:rPr>
          <w:rFonts w:hint="eastAsia" w:cs="宋体"/>
          <w:highlight w:val="none"/>
        </w:rPr>
        <w:t>投标文件的制作和签章、加密</w:t>
      </w:r>
      <w:r>
        <w:tab/>
      </w:r>
      <w:r>
        <w:fldChar w:fldCharType="begin"/>
      </w:r>
      <w:r>
        <w:instrText xml:space="preserve"> PAGEREF _Toc10616 \h </w:instrText>
      </w:r>
      <w:r>
        <w:fldChar w:fldCharType="separate"/>
      </w:r>
      <w:r>
        <w:t>19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_Toc23197 </w:instrText>
      </w:r>
      <w:r>
        <w:rPr>
          <w:highlight w:val="none"/>
        </w:rPr>
        <w:fldChar w:fldCharType="separate"/>
      </w:r>
      <w:r>
        <w:rPr>
          <w:rFonts w:hint="eastAsia" w:ascii="宋体" w:hAnsi="宋体" w:eastAsia="宋体" w:cs="宋体"/>
        </w:rPr>
        <w:t xml:space="preserve">(十一) </w:t>
      </w:r>
      <w:r>
        <w:rPr>
          <w:rFonts w:hint="eastAsia" w:cs="宋体"/>
          <w:highlight w:val="none"/>
        </w:rPr>
        <w:t>投标文件的递交</w:t>
      </w:r>
      <w:r>
        <w:tab/>
      </w:r>
      <w:r>
        <w:fldChar w:fldCharType="begin"/>
      </w:r>
      <w:r>
        <w:instrText xml:space="preserve"> PAGEREF _Toc23197 \h </w:instrText>
      </w:r>
      <w:r>
        <w:fldChar w:fldCharType="separate"/>
      </w:r>
      <w:r>
        <w:t>20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_Toc32033 </w:instrText>
      </w:r>
      <w:r>
        <w:rPr>
          <w:highlight w:val="none"/>
        </w:rPr>
        <w:fldChar w:fldCharType="separate"/>
      </w:r>
      <w:r>
        <w:rPr>
          <w:rFonts w:hint="eastAsia" w:ascii="宋体" w:hAnsi="宋体" w:eastAsia="宋体" w:cs="宋体"/>
        </w:rPr>
        <w:t xml:space="preserve">(十二) </w:t>
      </w:r>
      <w:r>
        <w:rPr>
          <w:rFonts w:hint="eastAsia" w:cs="宋体"/>
          <w:highlight w:val="none"/>
        </w:rPr>
        <w:t>投标文件的修改和撤回</w:t>
      </w:r>
      <w:r>
        <w:tab/>
      </w:r>
      <w:r>
        <w:fldChar w:fldCharType="begin"/>
      </w:r>
      <w:r>
        <w:instrText xml:space="preserve"> PAGEREF _Toc32033 \h </w:instrText>
      </w:r>
      <w:r>
        <w:fldChar w:fldCharType="separate"/>
      </w:r>
      <w:r>
        <w:t>20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_Toc4590 </w:instrText>
      </w:r>
      <w:r>
        <w:rPr>
          <w:highlight w:val="none"/>
        </w:rPr>
        <w:fldChar w:fldCharType="separate"/>
      </w:r>
      <w:r>
        <w:rPr>
          <w:rFonts w:hint="eastAsia" w:ascii="宋体" w:hAnsi="宋体" w:eastAsia="宋体" w:cs="宋体"/>
        </w:rPr>
        <w:t xml:space="preserve">(十三) </w:t>
      </w:r>
      <w:r>
        <w:rPr>
          <w:rFonts w:hint="eastAsia" w:cs="宋体"/>
          <w:highlight w:val="none"/>
        </w:rPr>
        <w:t>投标文件的解密</w:t>
      </w:r>
      <w:r>
        <w:tab/>
      </w:r>
      <w:r>
        <w:fldChar w:fldCharType="begin"/>
      </w:r>
      <w:r>
        <w:instrText xml:space="preserve"> PAGEREF _Toc4590 \h </w:instrText>
      </w:r>
      <w:r>
        <w:fldChar w:fldCharType="separate"/>
      </w:r>
      <w:r>
        <w:t>20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_Toc17385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_Toc17385 \h </w:instrText>
      </w:r>
      <w:r>
        <w:fldChar w:fldCharType="separate"/>
      </w:r>
      <w:r>
        <w:t>21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_Toc27783 </w:instrText>
      </w:r>
      <w:r>
        <w:rPr>
          <w:highlight w:val="none"/>
        </w:rPr>
        <w:fldChar w:fldCharType="separate"/>
      </w:r>
      <w:r>
        <w:rPr>
          <w:rFonts w:hint="eastAsia" w:ascii="宋体" w:hAnsi="宋体" w:eastAsia="宋体" w:cs="宋体"/>
        </w:rPr>
        <w:t xml:space="preserve">(一) </w:t>
      </w:r>
      <w:r>
        <w:rPr>
          <w:rFonts w:hint="eastAsia" w:cs="宋体"/>
          <w:highlight w:val="none"/>
        </w:rPr>
        <w:t>开标及开标程序</w:t>
      </w:r>
      <w:r>
        <w:tab/>
      </w:r>
      <w:r>
        <w:fldChar w:fldCharType="begin"/>
      </w:r>
      <w:r>
        <w:instrText xml:space="preserve"> PAGEREF _Toc27783 \h </w:instrText>
      </w:r>
      <w:r>
        <w:fldChar w:fldCharType="separate"/>
      </w:r>
      <w:r>
        <w:t>21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_Toc18413 </w:instrText>
      </w:r>
      <w:r>
        <w:rPr>
          <w:highlight w:val="none"/>
        </w:rPr>
        <w:fldChar w:fldCharType="separate"/>
      </w:r>
      <w:r>
        <w:rPr>
          <w:rFonts w:hint="eastAsia" w:ascii="宋体" w:hAnsi="宋体" w:eastAsia="宋体" w:cs="宋体"/>
        </w:rPr>
        <w:t xml:space="preserve">(二) </w:t>
      </w:r>
      <w:r>
        <w:rPr>
          <w:rFonts w:hint="eastAsia" w:cs="宋体"/>
          <w:highlight w:val="none"/>
        </w:rPr>
        <w:t>开评标过程存档</w:t>
      </w:r>
      <w:r>
        <w:tab/>
      </w:r>
      <w:r>
        <w:fldChar w:fldCharType="begin"/>
      </w:r>
      <w:r>
        <w:instrText xml:space="preserve"> PAGEREF _Toc18413 \h </w:instrText>
      </w:r>
      <w:r>
        <w:fldChar w:fldCharType="separate"/>
      </w:r>
      <w:r>
        <w:t>21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_Toc17190 </w:instrText>
      </w:r>
      <w:r>
        <w:rPr>
          <w:highlight w:val="none"/>
        </w:rPr>
        <w:fldChar w:fldCharType="separate"/>
      </w:r>
      <w:r>
        <w:rPr>
          <w:rFonts w:hint="eastAsia" w:ascii="宋体" w:hAnsi="宋体" w:eastAsia="宋体" w:cs="宋体"/>
        </w:rPr>
        <w:t xml:space="preserve">(三) </w:t>
      </w:r>
      <w:r>
        <w:rPr>
          <w:rFonts w:hint="eastAsia" w:cs="宋体"/>
          <w:highlight w:val="none"/>
        </w:rPr>
        <w:t>中标通知书</w:t>
      </w:r>
      <w:r>
        <w:tab/>
      </w:r>
      <w:r>
        <w:fldChar w:fldCharType="begin"/>
      </w:r>
      <w:r>
        <w:instrText xml:space="preserve"> PAGEREF _Toc17190 \h </w:instrText>
      </w:r>
      <w:r>
        <w:fldChar w:fldCharType="separate"/>
      </w:r>
      <w:r>
        <w:t>22</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_Toc16810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_Toc16810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_Toc27715 </w:instrText>
      </w:r>
      <w:r>
        <w:rPr>
          <w:highlight w:val="none"/>
        </w:rPr>
        <w:fldChar w:fldCharType="separate"/>
      </w:r>
      <w:r>
        <w:rPr>
          <w:rFonts w:hint="eastAsia" w:ascii="宋体" w:hAnsi="宋体" w:eastAsia="宋体" w:cs="宋体"/>
        </w:rPr>
        <w:t xml:space="preserve">(一) </w:t>
      </w:r>
      <w:r>
        <w:rPr>
          <w:rFonts w:hint="eastAsia" w:cs="宋体"/>
          <w:highlight w:val="none"/>
        </w:rPr>
        <w:t>签订合同</w:t>
      </w:r>
      <w:r>
        <w:tab/>
      </w:r>
      <w:r>
        <w:fldChar w:fldCharType="begin"/>
      </w:r>
      <w:r>
        <w:instrText xml:space="preserve"> PAGEREF _Toc27715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_Toc22006 </w:instrText>
      </w:r>
      <w:r>
        <w:rPr>
          <w:highlight w:val="none"/>
        </w:rPr>
        <w:fldChar w:fldCharType="separate"/>
      </w:r>
      <w:r>
        <w:rPr>
          <w:rFonts w:hint="eastAsia" w:ascii="宋体" w:hAnsi="宋体" w:eastAsia="宋体" w:cs="宋体"/>
        </w:rPr>
        <w:t xml:space="preserve">(二) </w:t>
      </w:r>
      <w:r>
        <w:rPr>
          <w:rFonts w:hint="eastAsia" w:cs="宋体"/>
          <w:highlight w:val="none"/>
        </w:rPr>
        <w:t>合同分包(实质性要求)</w:t>
      </w:r>
      <w:r>
        <w:tab/>
      </w:r>
      <w:r>
        <w:fldChar w:fldCharType="begin"/>
      </w:r>
      <w:r>
        <w:instrText xml:space="preserve"> PAGEREF _Toc22006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_Toc2197 </w:instrText>
      </w:r>
      <w:r>
        <w:rPr>
          <w:highlight w:val="none"/>
        </w:rPr>
        <w:fldChar w:fldCharType="separate"/>
      </w:r>
      <w:r>
        <w:rPr>
          <w:rFonts w:hint="eastAsia" w:ascii="宋体" w:hAnsi="宋体" w:eastAsia="宋体" w:cs="宋体"/>
        </w:rPr>
        <w:t xml:space="preserve">(三) </w:t>
      </w:r>
      <w:r>
        <w:rPr>
          <w:rFonts w:hint="eastAsia" w:cs="宋体"/>
          <w:highlight w:val="none"/>
        </w:rPr>
        <w:t>合同转包(实质性要求)</w:t>
      </w:r>
      <w:r>
        <w:tab/>
      </w:r>
      <w:r>
        <w:fldChar w:fldCharType="begin"/>
      </w:r>
      <w:r>
        <w:instrText xml:space="preserve"> PAGEREF _Toc2197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_Toc23807 </w:instrText>
      </w:r>
      <w:r>
        <w:rPr>
          <w:highlight w:val="none"/>
        </w:rPr>
        <w:fldChar w:fldCharType="separate"/>
      </w:r>
      <w:r>
        <w:rPr>
          <w:rFonts w:hint="eastAsia" w:ascii="宋体" w:hAnsi="宋体" w:eastAsia="宋体" w:cs="宋体"/>
        </w:rPr>
        <w:t xml:space="preserve">(四) </w:t>
      </w:r>
      <w:r>
        <w:rPr>
          <w:rFonts w:hint="eastAsia" w:cs="宋体"/>
          <w:highlight w:val="none"/>
        </w:rPr>
        <w:t>补充合同</w:t>
      </w:r>
      <w:r>
        <w:tab/>
      </w:r>
      <w:r>
        <w:fldChar w:fldCharType="begin"/>
      </w:r>
      <w:r>
        <w:instrText xml:space="preserve"> PAGEREF _Toc23807 \h </w:instrText>
      </w:r>
      <w:r>
        <w:fldChar w:fldCharType="separate"/>
      </w:r>
      <w:r>
        <w:t>22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_Toc10394 </w:instrText>
      </w:r>
      <w:r>
        <w:rPr>
          <w:highlight w:val="none"/>
        </w:rPr>
        <w:fldChar w:fldCharType="separate"/>
      </w:r>
      <w:r>
        <w:rPr>
          <w:rFonts w:hint="eastAsia" w:ascii="宋体" w:hAnsi="宋体" w:eastAsia="宋体" w:cs="宋体"/>
        </w:rPr>
        <w:t xml:space="preserve">(五) </w:t>
      </w:r>
      <w:r>
        <w:rPr>
          <w:rFonts w:hint="eastAsia" w:cs="宋体"/>
          <w:highlight w:val="none"/>
        </w:rPr>
        <w:t>合同公告</w:t>
      </w:r>
      <w:r>
        <w:tab/>
      </w:r>
      <w:r>
        <w:fldChar w:fldCharType="begin"/>
      </w:r>
      <w:r>
        <w:instrText xml:space="preserve"> PAGEREF _Toc10394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_Toc559 </w:instrText>
      </w:r>
      <w:r>
        <w:rPr>
          <w:highlight w:val="none"/>
        </w:rPr>
        <w:fldChar w:fldCharType="separate"/>
      </w:r>
      <w:r>
        <w:rPr>
          <w:rFonts w:hint="eastAsia" w:ascii="宋体" w:hAnsi="宋体" w:eastAsia="宋体" w:cs="宋体"/>
        </w:rPr>
        <w:t xml:space="preserve">(六) </w:t>
      </w:r>
      <w:r>
        <w:rPr>
          <w:rFonts w:hint="eastAsia" w:cs="宋体"/>
          <w:highlight w:val="none"/>
        </w:rPr>
        <w:t>合同备案</w:t>
      </w:r>
      <w:r>
        <w:tab/>
      </w:r>
      <w:r>
        <w:fldChar w:fldCharType="begin"/>
      </w:r>
      <w:r>
        <w:instrText xml:space="preserve"> PAGEREF _Toc559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_Toc15218 </w:instrText>
      </w:r>
      <w:r>
        <w:rPr>
          <w:highlight w:val="none"/>
        </w:rPr>
        <w:fldChar w:fldCharType="separate"/>
      </w:r>
      <w:r>
        <w:rPr>
          <w:rFonts w:hint="eastAsia" w:ascii="宋体" w:hAnsi="宋体" w:eastAsia="宋体" w:cs="宋体"/>
        </w:rPr>
        <w:t xml:space="preserve">(七) </w:t>
      </w:r>
      <w:r>
        <w:rPr>
          <w:rFonts w:hint="eastAsia" w:cs="宋体"/>
          <w:highlight w:val="none"/>
        </w:rPr>
        <w:t>履约保证金</w:t>
      </w:r>
      <w:r>
        <w:tab/>
      </w:r>
      <w:r>
        <w:fldChar w:fldCharType="begin"/>
      </w:r>
      <w:r>
        <w:instrText xml:space="preserve"> PAGEREF _Toc15218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_Toc3093 </w:instrText>
      </w:r>
      <w:r>
        <w:rPr>
          <w:highlight w:val="none"/>
        </w:rPr>
        <w:fldChar w:fldCharType="separate"/>
      </w:r>
      <w:r>
        <w:rPr>
          <w:rFonts w:hint="eastAsia" w:ascii="宋体" w:hAnsi="宋体" w:eastAsia="宋体" w:cs="宋体"/>
        </w:rPr>
        <w:t xml:space="preserve">(八) </w:t>
      </w:r>
      <w:r>
        <w:rPr>
          <w:rFonts w:hint="eastAsia" w:cs="宋体"/>
          <w:highlight w:val="none"/>
        </w:rPr>
        <w:t>履行合同</w:t>
      </w:r>
      <w:r>
        <w:tab/>
      </w:r>
      <w:r>
        <w:fldChar w:fldCharType="begin"/>
      </w:r>
      <w:r>
        <w:instrText xml:space="preserve"> PAGEREF _Toc3093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_Toc31124 </w:instrText>
      </w:r>
      <w:r>
        <w:rPr>
          <w:highlight w:val="none"/>
        </w:rPr>
        <w:fldChar w:fldCharType="separate"/>
      </w:r>
      <w:r>
        <w:rPr>
          <w:rFonts w:hint="eastAsia" w:ascii="宋体" w:hAnsi="宋体" w:eastAsia="宋体" w:cs="宋体"/>
        </w:rPr>
        <w:t xml:space="preserve">(九) </w:t>
      </w:r>
      <w:r>
        <w:rPr>
          <w:rFonts w:hint="eastAsia" w:cs="宋体"/>
          <w:highlight w:val="none"/>
        </w:rPr>
        <w:t>验收</w:t>
      </w:r>
      <w:r>
        <w:tab/>
      </w:r>
      <w:r>
        <w:fldChar w:fldCharType="begin"/>
      </w:r>
      <w:r>
        <w:instrText xml:space="preserve"> PAGEREF _Toc31124 \h </w:instrText>
      </w:r>
      <w:r>
        <w:fldChar w:fldCharType="separate"/>
      </w:r>
      <w:r>
        <w:t>23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_Toc21712 </w:instrText>
      </w:r>
      <w:r>
        <w:rPr>
          <w:highlight w:val="none"/>
        </w:rPr>
        <w:fldChar w:fldCharType="separate"/>
      </w:r>
      <w:r>
        <w:rPr>
          <w:rFonts w:hint="eastAsia" w:ascii="宋体" w:hAnsi="宋体" w:eastAsia="宋体" w:cs="宋体"/>
        </w:rPr>
        <w:t xml:space="preserve">(十) </w:t>
      </w:r>
      <w:r>
        <w:rPr>
          <w:rFonts w:hint="eastAsia" w:cs="宋体"/>
          <w:highlight w:val="none"/>
        </w:rPr>
        <w:t>资金支付方式、时间、条件</w:t>
      </w:r>
      <w:r>
        <w:tab/>
      </w:r>
      <w:r>
        <w:fldChar w:fldCharType="begin"/>
      </w:r>
      <w:r>
        <w:instrText xml:space="preserve"> PAGEREF _Toc21712 \h </w:instrText>
      </w:r>
      <w:r>
        <w:fldChar w:fldCharType="separate"/>
      </w:r>
      <w:r>
        <w:t>23</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_Toc21027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_Toc21027 \h </w:instrText>
      </w:r>
      <w:r>
        <w:fldChar w:fldCharType="separate"/>
      </w:r>
      <w:r>
        <w:t>23</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_Toc32392 </w:instrText>
      </w:r>
      <w:r>
        <w:rPr>
          <w:highlight w:val="none"/>
        </w:rPr>
        <w:fldChar w:fldCharType="separate"/>
      </w:r>
      <w:r>
        <w:rPr>
          <w:rFonts w:hint="eastAsia"/>
        </w:rPr>
        <w:t xml:space="preserve">八、 </w:t>
      </w:r>
      <w:r>
        <w:rPr>
          <w:rFonts w:hint="eastAsia"/>
          <w:highlight w:val="none"/>
        </w:rPr>
        <w:t>其他</w:t>
      </w:r>
      <w:r>
        <w:tab/>
      </w:r>
      <w:r>
        <w:fldChar w:fldCharType="begin"/>
      </w:r>
      <w:r>
        <w:instrText xml:space="preserve"> PAGEREF _Toc32392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_Toc22507 </w:instrText>
      </w:r>
      <w:r>
        <w:rPr>
          <w:highlight w:val="none"/>
        </w:rPr>
        <w:fldChar w:fldCharType="separate"/>
      </w:r>
      <w:r>
        <w:rPr>
          <w:rFonts w:hint="eastAsia" w:ascii="宋体" w:hAnsi="宋体" w:eastAsia="宋体" w:cs="宋体"/>
        </w:rPr>
        <w:t xml:space="preserve">(一) </w:t>
      </w:r>
      <w:r>
        <w:rPr>
          <w:rFonts w:hint="eastAsia" w:cs="宋体"/>
          <w:highlight w:val="none"/>
        </w:rPr>
        <w:t>询问、质疑和投诉</w:t>
      </w:r>
      <w:r>
        <w:tab/>
      </w:r>
      <w:r>
        <w:fldChar w:fldCharType="begin"/>
      </w:r>
      <w:r>
        <w:instrText xml:space="preserve"> PAGEREF _Toc22507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_Toc3323 </w:instrText>
      </w:r>
      <w:r>
        <w:rPr>
          <w:highlight w:val="none"/>
        </w:rPr>
        <w:fldChar w:fldCharType="separate"/>
      </w:r>
      <w:r>
        <w:rPr>
          <w:rFonts w:hint="eastAsia" w:ascii="宋体" w:hAnsi="宋体" w:eastAsia="宋体" w:cs="宋体"/>
        </w:rPr>
        <w:t xml:space="preserve">(二) </w:t>
      </w:r>
      <w:r>
        <w:rPr>
          <w:rFonts w:hint="eastAsia" w:cs="宋体"/>
          <w:highlight w:val="none"/>
        </w:rPr>
        <w:t>关于行贿犯罪档案查询工作的规定</w:t>
      </w:r>
      <w:r>
        <w:tab/>
      </w:r>
      <w:r>
        <w:fldChar w:fldCharType="begin"/>
      </w:r>
      <w:r>
        <w:instrText xml:space="preserve"> PAGEREF _Toc3323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_Toc21330 </w:instrText>
      </w:r>
      <w:r>
        <w:rPr>
          <w:highlight w:val="none"/>
        </w:rPr>
        <w:fldChar w:fldCharType="separate"/>
      </w:r>
      <w:r>
        <w:rPr>
          <w:rFonts w:hint="eastAsia" w:ascii="宋体" w:hAnsi="宋体" w:eastAsia="宋体" w:cs="宋体"/>
        </w:rPr>
        <w:t xml:space="preserve">(三) </w:t>
      </w:r>
      <w:r>
        <w:rPr>
          <w:rFonts w:hint="eastAsia" w:cs="宋体"/>
          <w:highlight w:val="none"/>
        </w:rPr>
        <w:t>串通投标的情形</w:t>
      </w:r>
      <w:r>
        <w:tab/>
      </w:r>
      <w:r>
        <w:fldChar w:fldCharType="begin"/>
      </w:r>
      <w:r>
        <w:instrText xml:space="preserve"> PAGEREF _Toc21330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_Toc5160 </w:instrText>
      </w:r>
      <w:r>
        <w:rPr>
          <w:highlight w:val="none"/>
        </w:rPr>
        <w:fldChar w:fldCharType="separate"/>
      </w:r>
      <w:r>
        <w:rPr>
          <w:rFonts w:hint="eastAsia" w:ascii="宋体" w:hAnsi="宋体" w:eastAsia="宋体" w:cs="宋体"/>
        </w:rPr>
        <w:t xml:space="preserve">(四) </w:t>
      </w:r>
      <w:r>
        <w:rPr>
          <w:rFonts w:hint="eastAsia" w:cs="宋体"/>
          <w:highlight w:val="none"/>
        </w:rPr>
        <w:t>投标人信用信息查询</w:t>
      </w:r>
      <w:r>
        <w:tab/>
      </w:r>
      <w:r>
        <w:fldChar w:fldCharType="begin"/>
      </w:r>
      <w:r>
        <w:instrText xml:space="preserve"> PAGEREF _Toc5160 \h </w:instrText>
      </w:r>
      <w:r>
        <w:fldChar w:fldCharType="separate"/>
      </w:r>
      <w:r>
        <w:t>24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_Toc2239 </w:instrText>
      </w:r>
      <w:r>
        <w:rPr>
          <w:highlight w:val="none"/>
        </w:rPr>
        <w:fldChar w:fldCharType="separate"/>
      </w:r>
      <w:r>
        <w:rPr>
          <w:rFonts w:hint="eastAsia" w:ascii="宋体" w:hAnsi="宋体" w:eastAsia="宋体" w:cs="宋体"/>
        </w:rPr>
        <w:t xml:space="preserve">(五) </w:t>
      </w:r>
      <w:r>
        <w:rPr>
          <w:rFonts w:hint="eastAsia" w:cs="宋体"/>
          <w:highlight w:val="none"/>
        </w:rPr>
        <w:t>保密</w:t>
      </w:r>
      <w:r>
        <w:tab/>
      </w:r>
      <w:r>
        <w:fldChar w:fldCharType="begin"/>
      </w:r>
      <w:r>
        <w:instrText xml:space="preserve"> PAGEREF _Toc2239 \h </w:instrText>
      </w:r>
      <w:r>
        <w:fldChar w:fldCharType="separate"/>
      </w:r>
      <w:r>
        <w:t>25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_Toc28063 </w:instrText>
      </w:r>
      <w:r>
        <w:rPr>
          <w:highlight w:val="none"/>
        </w:rPr>
        <w:fldChar w:fldCharType="separate"/>
      </w:r>
      <w:r>
        <w:rPr>
          <w:rFonts w:hint="eastAsia" w:ascii="宋体" w:hAnsi="宋体" w:eastAsia="宋体" w:cs="宋体"/>
        </w:rPr>
        <w:t xml:space="preserve">(六) </w:t>
      </w:r>
      <w:r>
        <w:rPr>
          <w:rFonts w:hint="eastAsia" w:cs="宋体"/>
          <w:highlight w:val="none"/>
        </w:rPr>
        <w:t>回避</w:t>
      </w:r>
      <w:r>
        <w:tab/>
      </w:r>
      <w:r>
        <w:fldChar w:fldCharType="begin"/>
      </w:r>
      <w:r>
        <w:instrText xml:space="preserve"> PAGEREF _Toc28063 \h </w:instrText>
      </w:r>
      <w:r>
        <w:fldChar w:fldCharType="separate"/>
      </w:r>
      <w:r>
        <w:t>25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_Toc32579 </w:instrText>
      </w:r>
      <w:r>
        <w:rPr>
          <w:highlight w:val="none"/>
        </w:rPr>
        <w:fldChar w:fldCharType="separate"/>
      </w:r>
      <w:r>
        <w:rPr>
          <w:rFonts w:hint="eastAsia" w:ascii="宋体" w:hAnsi="宋体" w:eastAsia="宋体" w:cs="宋体"/>
        </w:rPr>
        <w:t xml:space="preserve">(七) </w:t>
      </w:r>
      <w:r>
        <w:rPr>
          <w:rFonts w:hint="eastAsia" w:cs="宋体"/>
          <w:highlight w:val="none"/>
        </w:rPr>
        <w:t>解释说明</w:t>
      </w:r>
      <w:r>
        <w:tab/>
      </w:r>
      <w:r>
        <w:fldChar w:fldCharType="begin"/>
      </w:r>
      <w:r>
        <w:instrText xml:space="preserve"> PAGEREF _Toc32579 \h </w:instrText>
      </w:r>
      <w:r>
        <w:fldChar w:fldCharType="separate"/>
      </w:r>
      <w:r>
        <w:t>25</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_Toc12541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_Toc12541 \h </w:instrText>
      </w:r>
      <w:r>
        <w:fldChar w:fldCharType="separate"/>
      </w:r>
      <w:r>
        <w:t>26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_Toc12683 </w:instrText>
      </w:r>
      <w:r>
        <w:rPr>
          <w:highlight w:val="none"/>
        </w:rPr>
        <w:fldChar w:fldCharType="separate"/>
      </w:r>
      <w:r>
        <w:rPr>
          <w:rFonts w:hint="eastAsia"/>
          <w:szCs w:val="32"/>
          <w:highlight w:val="none"/>
        </w:rPr>
        <w:t>第一部分 资格、资质性及其他类似效力投标文件(格式)</w:t>
      </w:r>
      <w:r>
        <w:tab/>
      </w:r>
      <w:r>
        <w:fldChar w:fldCharType="begin"/>
      </w:r>
      <w:r>
        <w:instrText xml:space="preserve"> PAGEREF _Toc12683 \h </w:instrText>
      </w:r>
      <w:r>
        <w:fldChar w:fldCharType="separate"/>
      </w:r>
      <w:r>
        <w:t>29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_Toc20893 </w:instrText>
      </w:r>
      <w:r>
        <w:rPr>
          <w:highlight w:val="none"/>
        </w:rPr>
        <w:fldChar w:fldCharType="separate"/>
      </w:r>
      <w:r>
        <w:rPr>
          <w:rFonts w:hint="eastAsia"/>
        </w:rPr>
        <w:t xml:space="preserve">一、 </w:t>
      </w:r>
      <w:r>
        <w:rPr>
          <w:rFonts w:hint="eastAsia"/>
          <w:highlight w:val="none"/>
        </w:rPr>
        <w:t>法定代表人/单位负责人身份证明书</w:t>
      </w:r>
      <w:r>
        <w:tab/>
      </w:r>
      <w:r>
        <w:fldChar w:fldCharType="begin"/>
      </w:r>
      <w:r>
        <w:instrText xml:space="preserve"> PAGEREF _Toc20893 \h </w:instrText>
      </w:r>
      <w:r>
        <w:fldChar w:fldCharType="separate"/>
      </w:r>
      <w:r>
        <w:t>30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_Toc9061 </w:instrText>
      </w:r>
      <w:r>
        <w:rPr>
          <w:highlight w:val="none"/>
        </w:rPr>
        <w:fldChar w:fldCharType="separate"/>
      </w:r>
      <w:r>
        <w:rPr>
          <w:rFonts w:hint="eastAsia"/>
        </w:rPr>
        <w:t xml:space="preserve">二、 </w:t>
      </w:r>
      <w:r>
        <w:rPr>
          <w:rFonts w:hint="eastAsia"/>
          <w:highlight w:val="none"/>
        </w:rPr>
        <w:t>具有独立承担民事责任的能力的证明材料</w:t>
      </w:r>
      <w:r>
        <w:tab/>
      </w:r>
      <w:r>
        <w:fldChar w:fldCharType="begin"/>
      </w:r>
      <w:r>
        <w:instrText xml:space="preserve"> PAGEREF _Toc9061 \h </w:instrText>
      </w:r>
      <w:r>
        <w:fldChar w:fldCharType="separate"/>
      </w:r>
      <w:r>
        <w:t>31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_Toc4745 </w:instrText>
      </w:r>
      <w:r>
        <w:rPr>
          <w:highlight w:val="none"/>
        </w:rPr>
        <w:fldChar w:fldCharType="separate"/>
      </w:r>
      <w:r>
        <w:rPr>
          <w:rFonts w:hint="eastAsia"/>
        </w:rPr>
        <w:t xml:space="preserve">三、 </w:t>
      </w:r>
      <w:r>
        <w:rPr>
          <w:rFonts w:hint="eastAsia"/>
          <w:highlight w:val="none"/>
        </w:rPr>
        <w:t>投标人具有良好的商业信誉和健全的财务会计制度的证明材料</w:t>
      </w:r>
      <w:r>
        <w:tab/>
      </w:r>
      <w:r>
        <w:fldChar w:fldCharType="begin"/>
      </w:r>
      <w:r>
        <w:instrText xml:space="preserve"> PAGEREF _Toc4745 \h </w:instrText>
      </w:r>
      <w:r>
        <w:fldChar w:fldCharType="separate"/>
      </w:r>
      <w:r>
        <w:t>32</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_Toc26712 </w:instrText>
      </w:r>
      <w:r>
        <w:rPr>
          <w:highlight w:val="none"/>
        </w:rPr>
        <w:fldChar w:fldCharType="separate"/>
      </w:r>
      <w:r>
        <w:rPr>
          <w:rFonts w:hint="eastAsia"/>
        </w:rPr>
        <w:t xml:space="preserve">四、 </w:t>
      </w:r>
      <w:r>
        <w:rPr>
          <w:rFonts w:hint="eastAsia"/>
          <w:highlight w:val="none"/>
        </w:rPr>
        <w:t>投标人具有依法缴纳税收和社会保障资金的良好记录的证明材料</w:t>
      </w:r>
      <w:r>
        <w:tab/>
      </w:r>
      <w:r>
        <w:fldChar w:fldCharType="begin"/>
      </w:r>
      <w:r>
        <w:instrText xml:space="preserve"> PAGEREF _Toc26712 \h </w:instrText>
      </w:r>
      <w:r>
        <w:fldChar w:fldCharType="separate"/>
      </w:r>
      <w:r>
        <w:t>33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_Toc19241 </w:instrText>
      </w:r>
      <w:r>
        <w:rPr>
          <w:highlight w:val="none"/>
        </w:rPr>
        <w:fldChar w:fldCharType="separate"/>
      </w:r>
      <w:r>
        <w:rPr>
          <w:rFonts w:hint="eastAsia"/>
        </w:rPr>
        <w:t xml:space="preserve">五、 </w:t>
      </w:r>
      <w:r>
        <w:rPr>
          <w:rFonts w:hint="eastAsia"/>
          <w:highlight w:val="none"/>
        </w:rPr>
        <w:t>投标人具有履行合同所必需的设备和专业技术能力证明材料</w:t>
      </w:r>
      <w:r>
        <w:tab/>
      </w:r>
      <w:r>
        <w:fldChar w:fldCharType="begin"/>
      </w:r>
      <w:r>
        <w:instrText xml:space="preserve"> PAGEREF _Toc19241 \h </w:instrText>
      </w:r>
      <w:r>
        <w:fldChar w:fldCharType="separate"/>
      </w:r>
      <w:r>
        <w:t>34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_Toc19495 </w:instrText>
      </w:r>
      <w:r>
        <w:rPr>
          <w:highlight w:val="none"/>
        </w:rPr>
        <w:fldChar w:fldCharType="separate"/>
      </w:r>
      <w:r>
        <w:rPr>
          <w:rFonts w:hint="eastAsia"/>
        </w:rPr>
        <w:t xml:space="preserve">六、 </w:t>
      </w:r>
      <w:r>
        <w:rPr>
          <w:rFonts w:hint="eastAsia"/>
          <w:highlight w:val="none"/>
        </w:rPr>
        <w:t>投标人参加政府采购活动前三年内，在经营活动中没有重大违法记录的证明材料</w:t>
      </w:r>
      <w:r>
        <w:tab/>
      </w:r>
      <w:r>
        <w:fldChar w:fldCharType="begin"/>
      </w:r>
      <w:r>
        <w:instrText xml:space="preserve"> PAGEREF _Toc19495 \h </w:instrText>
      </w:r>
      <w:r>
        <w:fldChar w:fldCharType="separate"/>
      </w:r>
      <w:r>
        <w:t>35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_Toc2636 </w:instrText>
      </w:r>
      <w:r>
        <w:rPr>
          <w:highlight w:val="none"/>
        </w:rPr>
        <w:fldChar w:fldCharType="separate"/>
      </w:r>
      <w:r>
        <w:rPr>
          <w:rFonts w:hint="eastAsia"/>
          <w:lang w:val="zh-CN"/>
        </w:rPr>
        <w:t xml:space="preserve">七、 </w:t>
      </w:r>
      <w:r>
        <w:rPr>
          <w:rFonts w:hint="eastAsia"/>
          <w:highlight w:val="none"/>
        </w:rPr>
        <w:t>投标人</w:t>
      </w:r>
      <w:r>
        <w:rPr>
          <w:rFonts w:hint="eastAsia"/>
          <w:highlight w:val="none"/>
          <w:lang w:val="zh-CN"/>
        </w:rPr>
        <w:t>及其现任法定代表人、主要负责人不得具有行贿犯罪记录</w:t>
      </w:r>
      <w:r>
        <w:rPr>
          <w:rFonts w:hint="eastAsia"/>
          <w:highlight w:val="none"/>
        </w:rPr>
        <w:t>的承诺函</w:t>
      </w:r>
      <w:r>
        <w:tab/>
      </w:r>
      <w:r>
        <w:fldChar w:fldCharType="begin"/>
      </w:r>
      <w:r>
        <w:instrText xml:space="preserve"> PAGEREF _Toc2636 \h </w:instrText>
      </w:r>
      <w:r>
        <w:fldChar w:fldCharType="separate"/>
      </w:r>
      <w:r>
        <w:t>36</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_Toc5169 </w:instrText>
      </w:r>
      <w:r>
        <w:rPr>
          <w:highlight w:val="none"/>
        </w:rPr>
        <w:fldChar w:fldCharType="separate"/>
      </w:r>
      <w:r>
        <w:rPr>
          <w:rFonts w:hint="eastAsia"/>
        </w:rPr>
        <w:t xml:space="preserve">八、 </w:t>
      </w:r>
      <w:r>
        <w:rPr>
          <w:rFonts w:hint="eastAsia"/>
          <w:highlight w:val="none"/>
        </w:rPr>
        <w:t>根据采购项目的特殊要求，供应商提供具有特定条件的证明材料</w:t>
      </w:r>
      <w:r>
        <w:tab/>
      </w:r>
      <w:r>
        <w:fldChar w:fldCharType="begin"/>
      </w:r>
      <w:r>
        <w:instrText xml:space="preserve"> PAGEREF _Toc5169 \h </w:instrText>
      </w:r>
      <w:r>
        <w:fldChar w:fldCharType="separate"/>
      </w:r>
      <w:r>
        <w:t>37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_Toc21107 </w:instrText>
      </w:r>
      <w:r>
        <w:rPr>
          <w:highlight w:val="none"/>
        </w:rPr>
        <w:fldChar w:fldCharType="separate"/>
      </w:r>
      <w:r>
        <w:rPr>
          <w:rFonts w:hint="eastAsia"/>
        </w:rPr>
        <w:t xml:space="preserve">九、 </w:t>
      </w:r>
      <w:r>
        <w:rPr>
          <w:rFonts w:hint="eastAsia"/>
          <w:highlight w:val="none"/>
        </w:rPr>
        <w:t>符合《中华人民共和国政府采购法》第二十二条规定的条件的承诺及声明函</w:t>
      </w:r>
      <w:r>
        <w:tab/>
      </w:r>
      <w:r>
        <w:fldChar w:fldCharType="begin"/>
      </w:r>
      <w:r>
        <w:instrText xml:space="preserve"> PAGEREF _Toc21107 \h </w:instrText>
      </w:r>
      <w:r>
        <w:fldChar w:fldCharType="separate"/>
      </w:r>
      <w:r>
        <w:t>38</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_Toc16782 </w:instrText>
      </w:r>
      <w:r>
        <w:rPr>
          <w:highlight w:val="none"/>
        </w:rPr>
        <w:fldChar w:fldCharType="separate"/>
      </w:r>
      <w:r>
        <w:rPr>
          <w:rFonts w:hint="eastAsia"/>
          <w:szCs w:val="32"/>
          <w:highlight w:val="none"/>
        </w:rPr>
        <w:t>第二部分 其他投标文件(格式)</w:t>
      </w:r>
      <w:r>
        <w:tab/>
      </w:r>
      <w:r>
        <w:fldChar w:fldCharType="begin"/>
      </w:r>
      <w:r>
        <w:instrText xml:space="preserve"> PAGEREF _Toc16782 \h </w:instrText>
      </w:r>
      <w:r>
        <w:fldChar w:fldCharType="separate"/>
      </w:r>
      <w:r>
        <w:t>39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_Toc12758 </w:instrText>
      </w:r>
      <w:r>
        <w:rPr>
          <w:highlight w:val="none"/>
        </w:rPr>
        <w:fldChar w:fldCharType="separate"/>
      </w:r>
      <w:r>
        <w:rPr>
          <w:rFonts w:hint="eastAsia"/>
          <w:snapToGrid w:val="0"/>
        </w:rPr>
        <w:t xml:space="preserve">一、 </w:t>
      </w:r>
      <w:r>
        <w:rPr>
          <w:rFonts w:hint="eastAsia"/>
          <w:snapToGrid w:val="0"/>
          <w:highlight w:val="none"/>
        </w:rPr>
        <w:t>投标函</w:t>
      </w:r>
      <w:r>
        <w:tab/>
      </w:r>
      <w:r>
        <w:fldChar w:fldCharType="begin"/>
      </w:r>
      <w:r>
        <w:instrText xml:space="preserve"> PAGEREF _Toc12758 \h </w:instrText>
      </w:r>
      <w:r>
        <w:fldChar w:fldCharType="separate"/>
      </w:r>
      <w:r>
        <w:t>40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_Toc18311 </w:instrText>
      </w:r>
      <w:r>
        <w:rPr>
          <w:highlight w:val="none"/>
        </w:rPr>
        <w:fldChar w:fldCharType="separate"/>
      </w:r>
      <w:r>
        <w:rPr>
          <w:rFonts w:hint="eastAsia"/>
          <w:snapToGrid w:val="0"/>
        </w:rPr>
        <w:t xml:space="preserve">二、 </w:t>
      </w:r>
      <w:r>
        <w:rPr>
          <w:rFonts w:hint="eastAsia"/>
          <w:snapToGrid w:val="0"/>
          <w:highlight w:val="none"/>
        </w:rPr>
        <w:t>实质性要求承诺</w:t>
      </w:r>
      <w:r>
        <w:tab/>
      </w:r>
      <w:r>
        <w:fldChar w:fldCharType="begin"/>
      </w:r>
      <w:r>
        <w:instrText xml:space="preserve"> PAGEREF _Toc18311 \h </w:instrText>
      </w:r>
      <w:r>
        <w:fldChar w:fldCharType="separate"/>
      </w:r>
      <w:r>
        <w:t>41</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_Toc14082 </w:instrText>
      </w:r>
      <w:r>
        <w:rPr>
          <w:highlight w:val="none"/>
        </w:rPr>
        <w:fldChar w:fldCharType="separate"/>
      </w:r>
      <w:r>
        <w:rPr>
          <w:rFonts w:hint="eastAsia"/>
          <w:snapToGrid w:val="0"/>
        </w:rPr>
        <w:t xml:space="preserve">三、 </w:t>
      </w:r>
      <w:r>
        <w:rPr>
          <w:rFonts w:hint="eastAsia"/>
          <w:snapToGrid w:val="0"/>
          <w:highlight w:val="none"/>
        </w:rPr>
        <w:t>投标人基本情况表</w:t>
      </w:r>
      <w:r>
        <w:tab/>
      </w:r>
      <w:r>
        <w:fldChar w:fldCharType="begin"/>
      </w:r>
      <w:r>
        <w:instrText xml:space="preserve"> PAGEREF _Toc14082 \h </w:instrText>
      </w:r>
      <w:r>
        <w:fldChar w:fldCharType="separate"/>
      </w:r>
      <w:r>
        <w:t>43</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_Toc27224 </w:instrText>
      </w:r>
      <w:r>
        <w:rPr>
          <w:highlight w:val="none"/>
        </w:rPr>
        <w:fldChar w:fldCharType="separate"/>
      </w:r>
      <w:r>
        <w:rPr>
          <w:rFonts w:hint="eastAsia"/>
          <w:snapToGrid w:val="0"/>
        </w:rPr>
        <w:t xml:space="preserve">四、 </w:t>
      </w:r>
      <w:r>
        <w:rPr>
          <w:rFonts w:hint="eastAsia"/>
          <w:snapToGrid w:val="0"/>
          <w:highlight w:val="none"/>
        </w:rPr>
        <w:t>开标一览表</w:t>
      </w:r>
      <w:r>
        <w:tab/>
      </w:r>
      <w:r>
        <w:fldChar w:fldCharType="begin"/>
      </w:r>
      <w:r>
        <w:instrText xml:space="preserve"> PAGEREF _Toc27224 \h </w:instrText>
      </w:r>
      <w:r>
        <w:fldChar w:fldCharType="separate"/>
      </w:r>
      <w:r>
        <w:t>44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_Toc19314 </w:instrText>
      </w:r>
      <w:r>
        <w:rPr>
          <w:highlight w:val="none"/>
        </w:rPr>
        <w:fldChar w:fldCharType="separate"/>
      </w:r>
      <w:r>
        <w:rPr>
          <w:rFonts w:hint="eastAsia"/>
        </w:rPr>
        <w:t xml:space="preserve">五、 </w:t>
      </w:r>
      <w:r>
        <w:rPr>
          <w:rFonts w:hint="eastAsia"/>
          <w:highlight w:val="none"/>
        </w:rPr>
        <w:t>分项报价明细表</w:t>
      </w:r>
      <w:r>
        <w:tab/>
      </w:r>
      <w:r>
        <w:fldChar w:fldCharType="begin"/>
      </w:r>
      <w:r>
        <w:instrText xml:space="preserve"> PAGEREF _Toc19314 \h </w:instrText>
      </w:r>
      <w:r>
        <w:fldChar w:fldCharType="separate"/>
      </w:r>
      <w:r>
        <w:t>45</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_Toc452 </w:instrText>
      </w:r>
      <w:r>
        <w:rPr>
          <w:highlight w:val="none"/>
        </w:rPr>
        <w:fldChar w:fldCharType="separate"/>
      </w:r>
      <w:r>
        <w:rPr>
          <w:rFonts w:hint="eastAsia"/>
          <w:snapToGrid w:val="0"/>
        </w:rPr>
        <w:t xml:space="preserve">六、 </w:t>
      </w:r>
      <w:r>
        <w:rPr>
          <w:rFonts w:hint="eastAsia"/>
          <w:snapToGrid w:val="0"/>
          <w:highlight w:val="none"/>
        </w:rPr>
        <w:t>商务应答表</w:t>
      </w:r>
      <w:r>
        <w:tab/>
      </w:r>
      <w:r>
        <w:fldChar w:fldCharType="begin"/>
      </w:r>
      <w:r>
        <w:instrText xml:space="preserve"> PAGEREF _Toc452 \h </w:instrText>
      </w:r>
      <w:r>
        <w:fldChar w:fldCharType="separate"/>
      </w:r>
      <w:r>
        <w:t>46</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_Toc23573 </w:instrText>
      </w:r>
      <w:r>
        <w:rPr>
          <w:highlight w:val="none"/>
        </w:rPr>
        <w:fldChar w:fldCharType="separate"/>
      </w:r>
      <w:r>
        <w:rPr>
          <w:rFonts w:hint="eastAsia"/>
          <w:snapToGrid w:val="0"/>
        </w:rPr>
        <w:t xml:space="preserve">七、 </w:t>
      </w:r>
      <w:r>
        <w:rPr>
          <w:rFonts w:hint="eastAsia"/>
          <w:snapToGrid w:val="0"/>
          <w:highlight w:val="none"/>
        </w:rPr>
        <w:t>投标产品技术参数应答表</w:t>
      </w:r>
      <w:r>
        <w:tab/>
      </w:r>
      <w:r>
        <w:fldChar w:fldCharType="begin"/>
      </w:r>
      <w:r>
        <w:instrText xml:space="preserve"> PAGEREF _Toc23573 \h </w:instrText>
      </w:r>
      <w:r>
        <w:fldChar w:fldCharType="separate"/>
      </w:r>
      <w:r>
        <w:t>47</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_Toc13479 </w:instrText>
      </w:r>
      <w:r>
        <w:rPr>
          <w:highlight w:val="none"/>
        </w:rPr>
        <w:fldChar w:fldCharType="separate"/>
      </w:r>
      <w:r>
        <w:rPr>
          <w:rFonts w:hint="eastAsia"/>
          <w:snapToGrid w:val="0"/>
        </w:rPr>
        <w:t xml:space="preserve">八、 </w:t>
      </w:r>
      <w:r>
        <w:rPr>
          <w:rFonts w:hint="eastAsia"/>
          <w:snapToGrid w:val="0"/>
          <w:highlight w:val="none"/>
        </w:rPr>
        <w:t>履约能力及相关证明</w:t>
      </w:r>
      <w:r>
        <w:tab/>
      </w:r>
      <w:r>
        <w:fldChar w:fldCharType="begin"/>
      </w:r>
      <w:r>
        <w:instrText xml:space="preserve"> PAGEREF _Toc13479 \h </w:instrText>
      </w:r>
      <w:r>
        <w:fldChar w:fldCharType="separate"/>
      </w:r>
      <w:r>
        <w:t>48</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_Toc9870 </w:instrText>
      </w:r>
      <w:r>
        <w:rPr>
          <w:highlight w:val="none"/>
        </w:rPr>
        <w:fldChar w:fldCharType="separate"/>
      </w:r>
      <w:r>
        <w:rPr>
          <w:rFonts w:hint="eastAsia"/>
          <w:snapToGrid w:val="0"/>
        </w:rPr>
        <w:t xml:space="preserve">九、 </w:t>
      </w:r>
      <w:r>
        <w:rPr>
          <w:rFonts w:hint="eastAsia"/>
          <w:snapToGrid w:val="0"/>
          <w:highlight w:val="none"/>
        </w:rPr>
        <w:t>投标人针对本项目人员配置情况表</w:t>
      </w:r>
      <w:r>
        <w:tab/>
      </w:r>
      <w:r>
        <w:fldChar w:fldCharType="begin"/>
      </w:r>
      <w:r>
        <w:instrText xml:space="preserve"> PAGEREF _Toc9870 \h </w:instrText>
      </w:r>
      <w:r>
        <w:fldChar w:fldCharType="separate"/>
      </w:r>
      <w:r>
        <w:t>49</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_Toc1910 </w:instrText>
      </w:r>
      <w:r>
        <w:rPr>
          <w:highlight w:val="none"/>
        </w:rPr>
        <w:fldChar w:fldCharType="separate"/>
      </w:r>
      <w:r>
        <w:rPr>
          <w:rFonts w:hint="eastAsia"/>
          <w:snapToGrid w:val="0"/>
        </w:rPr>
        <w:t xml:space="preserve">十、 </w:t>
      </w:r>
      <w:r>
        <w:rPr>
          <w:rFonts w:hint="eastAsia"/>
          <w:snapToGrid w:val="0"/>
          <w:highlight w:val="none"/>
        </w:rPr>
        <w:t>小微企业、监狱企业、残疾人福利性单位价格扣除</w:t>
      </w:r>
      <w:r>
        <w:tab/>
      </w:r>
      <w:r>
        <w:fldChar w:fldCharType="begin"/>
      </w:r>
      <w:r>
        <w:instrText xml:space="preserve"> PAGEREF _Toc1910 \h </w:instrText>
      </w:r>
      <w:r>
        <w:fldChar w:fldCharType="separate"/>
      </w:r>
      <w:r>
        <w:t>50</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_Toc1173 </w:instrText>
      </w:r>
      <w:r>
        <w:rPr>
          <w:highlight w:val="none"/>
        </w:rPr>
        <w:fldChar w:fldCharType="separate"/>
      </w:r>
      <w:r>
        <w:rPr>
          <w:rFonts w:hint="eastAsia"/>
          <w:snapToGrid w:val="0"/>
        </w:rPr>
        <w:t xml:space="preserve">十、 </w:t>
      </w:r>
      <w:r>
        <w:rPr>
          <w:rFonts w:hint="eastAsia"/>
          <w:snapToGrid w:val="0"/>
          <w:highlight w:val="none"/>
        </w:rPr>
        <w:t>商品包装、快递包装承诺函</w:t>
      </w:r>
      <w:r>
        <w:tab/>
      </w:r>
      <w:r>
        <w:fldChar w:fldCharType="begin"/>
      </w:r>
      <w:r>
        <w:instrText xml:space="preserve"> PAGEREF _Toc1173 \h </w:instrText>
      </w:r>
      <w:r>
        <w:fldChar w:fldCharType="separate"/>
      </w:r>
      <w:r>
        <w:t>54</w:t>
      </w:r>
      <w:r>
        <w:fldChar w:fldCharType="end"/>
      </w:r>
      <w:r>
        <w:rPr>
          <w:highlight w:val="none"/>
        </w:rPr>
        <w:fldChar w:fldCharType="end"/>
      </w:r>
    </w:p>
    <w:p>
      <w:pPr>
        <w:pStyle w:val="14"/>
        <w:tabs>
          <w:tab w:val="right" w:leader="dot" w:pos="9740"/>
          <w:tab w:val="clear" w:pos="0"/>
        </w:tabs>
      </w:pPr>
      <w:r>
        <w:rPr>
          <w:highlight w:val="none"/>
        </w:rPr>
        <w:fldChar w:fldCharType="begin"/>
      </w:r>
      <w:r>
        <w:rPr>
          <w:highlight w:val="none"/>
        </w:rPr>
        <w:instrText xml:space="preserve"> HYPERLINK \l _Toc8865 </w:instrText>
      </w:r>
      <w:r>
        <w:rPr>
          <w:highlight w:val="none"/>
        </w:rPr>
        <w:fldChar w:fldCharType="separate"/>
      </w:r>
      <w:r>
        <w:rPr>
          <w:rFonts w:hint="eastAsia"/>
          <w:snapToGrid w:val="0"/>
        </w:rPr>
        <w:t xml:space="preserve">十一、 </w:t>
      </w:r>
      <w:r>
        <w:rPr>
          <w:rFonts w:hint="eastAsia"/>
          <w:snapToGrid w:val="0"/>
          <w:highlight w:val="none"/>
        </w:rPr>
        <w:t>招标代理服务费承诺函</w:t>
      </w:r>
      <w:r>
        <w:tab/>
      </w:r>
      <w:r>
        <w:fldChar w:fldCharType="begin"/>
      </w:r>
      <w:r>
        <w:instrText xml:space="preserve"> PAGEREF _Toc8865 \h </w:instrText>
      </w:r>
      <w:r>
        <w:fldChar w:fldCharType="separate"/>
      </w:r>
      <w:r>
        <w:t>55</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_Toc27001 </w:instrText>
      </w:r>
      <w:r>
        <w:rPr>
          <w:highlight w:val="none"/>
        </w:rPr>
        <w:fldChar w:fldCharType="separate"/>
      </w:r>
      <w:r>
        <w:rPr>
          <w:rFonts w:hint="eastAsia" w:ascii="宋体" w:hAnsi="宋体" w:eastAsia="宋体" w:cs="宋体"/>
          <w:spacing w:val="-6"/>
        </w:rPr>
        <w:t xml:space="preserve">第四章 </w:t>
      </w:r>
      <w:r>
        <w:rPr>
          <w:rFonts w:hint="eastAsia"/>
          <w:spacing w:val="-6"/>
          <w:highlight w:val="none"/>
        </w:rPr>
        <w:t>投标人和投标产品的资格、资质性及其他类似效力要求</w:t>
      </w:r>
      <w:r>
        <w:tab/>
      </w:r>
      <w:r>
        <w:fldChar w:fldCharType="begin"/>
      </w:r>
      <w:r>
        <w:instrText xml:space="preserve"> PAGEREF _Toc27001 \h </w:instrText>
      </w:r>
      <w:r>
        <w:fldChar w:fldCharType="separate"/>
      </w:r>
      <w:r>
        <w:t>56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_Toc20075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_Toc20075 \h </w:instrText>
      </w:r>
      <w:r>
        <w:fldChar w:fldCharType="separate"/>
      </w:r>
      <w:r>
        <w:t>56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_Toc24021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_Toc24021 \h </w:instrText>
      </w:r>
      <w:r>
        <w:fldChar w:fldCharType="separate"/>
      </w:r>
      <w:r>
        <w:t>56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_Toc29897 </w:instrText>
      </w:r>
      <w:r>
        <w:rPr>
          <w:highlight w:val="none"/>
        </w:rPr>
        <w:fldChar w:fldCharType="separate"/>
      </w:r>
      <w:r>
        <w:rPr>
          <w:rFonts w:hint="eastAsia" w:ascii="宋体" w:hAnsi="宋体" w:eastAsia="宋体" w:cs="宋体"/>
        </w:rPr>
        <w:t xml:space="preserve">三、 </w:t>
      </w:r>
      <w:r>
        <w:rPr>
          <w:rFonts w:hint="eastAsia"/>
          <w:highlight w:val="none"/>
        </w:rPr>
        <w:t>其他类似效力要求</w:t>
      </w:r>
      <w:r>
        <w:tab/>
      </w:r>
      <w:r>
        <w:fldChar w:fldCharType="begin"/>
      </w:r>
      <w:r>
        <w:instrText xml:space="preserve"> PAGEREF _Toc29897 \h </w:instrText>
      </w:r>
      <w:r>
        <w:fldChar w:fldCharType="separate"/>
      </w:r>
      <w:r>
        <w:t>56</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_Toc8327 </w:instrText>
      </w:r>
      <w:r>
        <w:rPr>
          <w:highlight w:val="none"/>
        </w:rPr>
        <w:fldChar w:fldCharType="separate"/>
      </w:r>
      <w:r>
        <w:rPr>
          <w:rFonts w:hint="eastAsia" w:ascii="宋体" w:hAnsi="宋体" w:eastAsia="宋体" w:cs="宋体"/>
        </w:rPr>
        <w:t xml:space="preserve">第五章 </w:t>
      </w:r>
      <w:r>
        <w:rPr>
          <w:rFonts w:hint="eastAsia"/>
          <w:highlight w:val="none"/>
        </w:rPr>
        <w:t>资格性审查内容</w:t>
      </w:r>
      <w:r>
        <w:tab/>
      </w:r>
      <w:r>
        <w:fldChar w:fldCharType="begin"/>
      </w:r>
      <w:r>
        <w:instrText xml:space="preserve"> PAGEREF _Toc8327 \h </w:instrText>
      </w:r>
      <w:r>
        <w:fldChar w:fldCharType="separate"/>
      </w:r>
      <w:r>
        <w:t>57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_Toc19186 </w:instrText>
      </w:r>
      <w:r>
        <w:rPr>
          <w:highlight w:val="none"/>
        </w:rPr>
        <w:fldChar w:fldCharType="separate"/>
      </w:r>
      <w:r>
        <w:rPr>
          <w:rFonts w:hint="eastAsia" w:ascii="宋体" w:hAnsi="宋体" w:eastAsia="宋体" w:cs="宋体"/>
        </w:rPr>
        <w:t xml:space="preserve">一、 </w:t>
      </w:r>
      <w:r>
        <w:rPr>
          <w:rFonts w:hint="eastAsia"/>
          <w:highlight w:val="none"/>
        </w:rPr>
        <w:t>应当提供的投标人及投标产品资格、资质性及其他类似效力要求的相关证明材料</w:t>
      </w:r>
      <w:r>
        <w:tab/>
      </w:r>
      <w:r>
        <w:fldChar w:fldCharType="begin"/>
      </w:r>
      <w:r>
        <w:instrText xml:space="preserve"> PAGEREF _Toc19186 \h </w:instrText>
      </w:r>
      <w:r>
        <w:fldChar w:fldCharType="separate"/>
      </w:r>
      <w:r>
        <w:t>57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_Toc1139 </w:instrText>
      </w:r>
      <w:r>
        <w:rPr>
          <w:highlight w:val="none"/>
        </w:rPr>
        <w:fldChar w:fldCharType="separate"/>
      </w:r>
      <w:r>
        <w:rPr>
          <w:rFonts w:hint="eastAsia" w:ascii="宋体" w:hAnsi="宋体" w:eastAsia="宋体" w:cs="宋体"/>
        </w:rPr>
        <w:t xml:space="preserve">二、 </w:t>
      </w:r>
      <w:r>
        <w:rPr>
          <w:rFonts w:hint="eastAsia"/>
          <w:highlight w:val="none"/>
        </w:rPr>
        <w:t>审查程序</w:t>
      </w:r>
      <w:r>
        <w:tab/>
      </w:r>
      <w:r>
        <w:fldChar w:fldCharType="begin"/>
      </w:r>
      <w:r>
        <w:instrText xml:space="preserve"> PAGEREF _Toc1139 \h </w:instrText>
      </w:r>
      <w:r>
        <w:fldChar w:fldCharType="separate"/>
      </w:r>
      <w:r>
        <w:t>59</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_Toc10393 </w:instrText>
      </w:r>
      <w:r>
        <w:rPr>
          <w:highlight w:val="none"/>
        </w:rPr>
        <w:fldChar w:fldCharType="separate"/>
      </w:r>
      <w:r>
        <w:rPr>
          <w:rFonts w:hint="eastAsia" w:ascii="宋体" w:hAnsi="宋体" w:eastAsia="宋体" w:cs="宋体"/>
        </w:rPr>
        <w:t xml:space="preserve">第六章 </w:t>
      </w:r>
      <w:r>
        <w:rPr>
          <w:rFonts w:hint="eastAsia"/>
          <w:highlight w:val="none"/>
        </w:rPr>
        <w:t>招标项目技术、服务、政府采购合同内容条款及其他商务要求</w:t>
      </w:r>
      <w:r>
        <w:tab/>
      </w:r>
      <w:r>
        <w:fldChar w:fldCharType="begin"/>
      </w:r>
      <w:r>
        <w:instrText xml:space="preserve"> PAGEREF _Toc10393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_Toc6487 </w:instrText>
      </w:r>
      <w:r>
        <w:rPr>
          <w:highlight w:val="none"/>
        </w:rPr>
        <w:fldChar w:fldCharType="separate"/>
      </w:r>
      <w:r>
        <w:rPr>
          <w:rFonts w:hint="eastAsia" w:ascii="宋体" w:hAnsi="宋体" w:eastAsia="宋体" w:cs="宋体"/>
        </w:rPr>
        <w:t xml:space="preserve">一、 </w:t>
      </w:r>
      <w:r>
        <w:rPr>
          <w:rFonts w:hint="eastAsia"/>
          <w:highlight w:val="none"/>
        </w:rPr>
        <w:t>项目概述</w:t>
      </w:r>
      <w:r>
        <w:tab/>
      </w:r>
      <w:r>
        <w:fldChar w:fldCharType="begin"/>
      </w:r>
      <w:r>
        <w:instrText xml:space="preserve"> PAGEREF _Toc6487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_Toc503 </w:instrText>
      </w:r>
      <w:r>
        <w:rPr>
          <w:highlight w:val="none"/>
        </w:rPr>
        <w:fldChar w:fldCharType="separate"/>
      </w:r>
      <w:r>
        <w:rPr>
          <w:rFonts w:hint="eastAsia" w:ascii="宋体" w:hAnsi="宋体" w:eastAsia="宋体" w:cs="宋体"/>
        </w:rPr>
        <w:t xml:space="preserve">二、 </w:t>
      </w:r>
      <w:r>
        <w:rPr>
          <w:rFonts w:hint="eastAsia"/>
          <w:highlight w:val="none"/>
        </w:rPr>
        <w:t>采购标的</w:t>
      </w:r>
      <w:r>
        <w:tab/>
      </w:r>
      <w:r>
        <w:fldChar w:fldCharType="begin"/>
      </w:r>
      <w:r>
        <w:instrText xml:space="preserve"> PAGEREF _Toc503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_Toc24633 </w:instrText>
      </w:r>
      <w:r>
        <w:rPr>
          <w:highlight w:val="none"/>
        </w:rPr>
        <w:fldChar w:fldCharType="separate"/>
      </w:r>
      <w:r>
        <w:rPr>
          <w:rFonts w:hint="eastAsia" w:ascii="宋体" w:hAnsi="宋体" w:eastAsia="宋体" w:cs="宋体"/>
        </w:rPr>
        <w:t xml:space="preserve">三、 </w:t>
      </w:r>
      <w:r>
        <w:rPr>
          <w:rFonts w:hint="eastAsia"/>
          <w:highlight w:val="none"/>
        </w:rPr>
        <w:t>技术参数及配置要求</w:t>
      </w:r>
      <w:r>
        <w:tab/>
      </w:r>
      <w:r>
        <w:fldChar w:fldCharType="begin"/>
      </w:r>
      <w:r>
        <w:instrText xml:space="preserve"> PAGEREF _Toc24633 \h </w:instrText>
      </w:r>
      <w:r>
        <w:fldChar w:fldCharType="separate"/>
      </w:r>
      <w:r>
        <w:t>60</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_Toc25346 </w:instrText>
      </w:r>
      <w:r>
        <w:rPr>
          <w:highlight w:val="none"/>
        </w:rPr>
        <w:fldChar w:fldCharType="separate"/>
      </w:r>
      <w:r>
        <w:rPr>
          <w:rFonts w:hint="eastAsia" w:ascii="宋体" w:hAnsi="宋体" w:eastAsia="宋体" w:cs="宋体"/>
        </w:rPr>
        <w:t xml:space="preserve">四、 </w:t>
      </w:r>
      <w:r>
        <w:rPr>
          <w:rFonts w:hint="eastAsia" w:cs="宋体"/>
          <w:highlight w:val="none"/>
        </w:rPr>
        <w:t>商务要求</w:t>
      </w:r>
      <w:r>
        <w:tab/>
      </w:r>
      <w:r>
        <w:fldChar w:fldCharType="begin"/>
      </w:r>
      <w:r>
        <w:instrText xml:space="preserve"> PAGEREF _Toc25346 \h </w:instrText>
      </w:r>
      <w:r>
        <w:fldChar w:fldCharType="separate"/>
      </w:r>
      <w:r>
        <w:t>64</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_Toc4141 </w:instrText>
      </w:r>
      <w:r>
        <w:rPr>
          <w:highlight w:val="none"/>
        </w:rPr>
        <w:fldChar w:fldCharType="separate"/>
      </w:r>
      <w:r>
        <w:rPr>
          <w:rFonts w:hint="eastAsia" w:ascii="宋体" w:hAnsi="宋体" w:eastAsia="宋体" w:cs="宋体"/>
          <w:bCs/>
        </w:rPr>
        <w:t xml:space="preserve">五、 </w:t>
      </w:r>
      <w:r>
        <w:rPr>
          <w:rFonts w:hint="eastAsia" w:cs="宋体"/>
          <w:highlight w:val="none"/>
        </w:rPr>
        <w:t>★</w:t>
      </w:r>
      <w:r>
        <w:rPr>
          <w:rFonts w:hint="eastAsia" w:cs="宋体"/>
          <w:bCs/>
          <w:highlight w:val="none"/>
        </w:rPr>
        <w:t>履约保证金</w:t>
      </w:r>
      <w:r>
        <w:tab/>
      </w:r>
      <w:r>
        <w:fldChar w:fldCharType="begin"/>
      </w:r>
      <w:r>
        <w:instrText xml:space="preserve"> PAGEREF _Toc4141 \h </w:instrText>
      </w:r>
      <w:r>
        <w:fldChar w:fldCharType="separate"/>
      </w:r>
      <w:r>
        <w:t>66</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_Toc32135 </w:instrText>
      </w:r>
      <w:r>
        <w:rPr>
          <w:highlight w:val="none"/>
        </w:rPr>
        <w:fldChar w:fldCharType="separate"/>
      </w:r>
      <w:r>
        <w:rPr>
          <w:rFonts w:hint="eastAsia" w:ascii="宋体" w:hAnsi="宋体" w:eastAsia="宋体" w:cs="宋体"/>
          <w:bCs/>
        </w:rPr>
        <w:t xml:space="preserve">六、 </w:t>
      </w:r>
      <w:r>
        <w:rPr>
          <w:rFonts w:hint="eastAsia" w:cs="宋体"/>
          <w:bCs/>
          <w:highlight w:val="none"/>
        </w:rPr>
        <w:t>验收标准和方法</w:t>
      </w:r>
      <w:r>
        <w:tab/>
      </w:r>
      <w:r>
        <w:fldChar w:fldCharType="begin"/>
      </w:r>
      <w:r>
        <w:instrText xml:space="preserve"> PAGEREF _Toc32135 \h </w:instrText>
      </w:r>
      <w:r>
        <w:fldChar w:fldCharType="separate"/>
      </w:r>
      <w:r>
        <w:t>67</w:t>
      </w:r>
      <w:r>
        <w:fldChar w:fldCharType="end"/>
      </w:r>
      <w:r>
        <w:rPr>
          <w:highlight w:val="none"/>
        </w:rPr>
        <w:fldChar w:fldCharType="end"/>
      </w:r>
    </w:p>
    <w:p>
      <w:pPr>
        <w:pStyle w:val="18"/>
        <w:tabs>
          <w:tab w:val="right" w:leader="dot" w:pos="9740"/>
          <w:tab w:val="clear" w:pos="0"/>
        </w:tabs>
      </w:pPr>
      <w:r>
        <w:rPr>
          <w:highlight w:val="none"/>
        </w:rPr>
        <w:fldChar w:fldCharType="begin"/>
      </w:r>
      <w:r>
        <w:rPr>
          <w:highlight w:val="none"/>
        </w:rPr>
        <w:instrText xml:space="preserve"> HYPERLINK \l _Toc22164 </w:instrText>
      </w:r>
      <w:r>
        <w:rPr>
          <w:highlight w:val="none"/>
        </w:rPr>
        <w:fldChar w:fldCharType="separate"/>
      </w:r>
      <w:r>
        <w:rPr>
          <w:rFonts w:hint="eastAsia" w:ascii="宋体" w:hAnsi="宋体" w:eastAsia="宋体" w:cs="宋体"/>
        </w:rPr>
        <w:t xml:space="preserve">七、 </w:t>
      </w:r>
      <w:r>
        <w:rPr>
          <w:rFonts w:hint="eastAsia" w:cs="宋体"/>
          <w:highlight w:val="none"/>
        </w:rPr>
        <w:t>履约要求</w:t>
      </w:r>
      <w:r>
        <w:tab/>
      </w:r>
      <w:r>
        <w:fldChar w:fldCharType="begin"/>
      </w:r>
      <w:r>
        <w:instrText xml:space="preserve"> PAGEREF _Toc22164 \h </w:instrText>
      </w:r>
      <w:r>
        <w:fldChar w:fldCharType="separate"/>
      </w:r>
      <w:r>
        <w:t>68</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_Toc10507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_Toc10507 \h </w:instrText>
      </w:r>
      <w:r>
        <w:fldChar w:fldCharType="separate"/>
      </w:r>
      <w:r>
        <w:t>69</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_Toc27456 </w:instrText>
      </w:r>
      <w:r>
        <w:rPr>
          <w:highlight w:val="none"/>
        </w:rPr>
        <w:fldChar w:fldCharType="separate"/>
      </w:r>
      <w:r>
        <w:rPr>
          <w:rFonts w:hint="eastAsia" w:ascii="宋体" w:hAnsi="宋体" w:eastAsia="宋体" w:cs="宋体"/>
        </w:rPr>
        <w:t xml:space="preserve">第八章 </w:t>
      </w:r>
      <w:r>
        <w:rPr>
          <w:rFonts w:hint="eastAsia"/>
          <w:highlight w:val="none"/>
        </w:rPr>
        <w:t>政府采购合同(参考文本)</w:t>
      </w:r>
      <w:r>
        <w:tab/>
      </w:r>
      <w:r>
        <w:fldChar w:fldCharType="begin"/>
      </w:r>
      <w:r>
        <w:instrText xml:space="preserve"> PAGEREF _Toc27456 \h </w:instrText>
      </w:r>
      <w:r>
        <w:fldChar w:fldCharType="separate"/>
      </w:r>
      <w:r>
        <w:t>80</w:t>
      </w:r>
      <w:r>
        <w:fldChar w:fldCharType="end"/>
      </w:r>
      <w:r>
        <w:rPr>
          <w:highlight w:val="none"/>
        </w:rPr>
        <w:fldChar w:fldCharType="end"/>
      </w:r>
    </w:p>
    <w:p>
      <w:pPr>
        <w:pStyle w:val="17"/>
        <w:tabs>
          <w:tab w:val="right" w:leader="dot" w:pos="9740"/>
          <w:tab w:val="clear" w:pos="0"/>
          <w:tab w:val="clear" w:pos="9746"/>
        </w:tabs>
      </w:pPr>
      <w:r>
        <w:rPr>
          <w:highlight w:val="none"/>
        </w:rPr>
        <w:fldChar w:fldCharType="begin"/>
      </w:r>
      <w:r>
        <w:rPr>
          <w:highlight w:val="none"/>
        </w:rPr>
        <w:instrText xml:space="preserve"> HYPERLINK \l _Toc20972 </w:instrText>
      </w:r>
      <w:r>
        <w:rPr>
          <w:highlight w:val="none"/>
        </w:rPr>
        <w:fldChar w:fldCharType="separate"/>
      </w:r>
      <w:r>
        <w:rPr>
          <w:rFonts w:hint="eastAsia" w:ascii="宋体" w:hAnsi="宋体" w:eastAsia="宋体" w:cs="宋体"/>
        </w:rPr>
        <w:t xml:space="preserve">第九章 </w:t>
      </w:r>
      <w:r>
        <w:rPr>
          <w:rFonts w:hint="eastAsia"/>
          <w:highlight w:val="none"/>
        </w:rPr>
        <w:t>附件</w:t>
      </w:r>
      <w:r>
        <w:tab/>
      </w:r>
      <w:r>
        <w:fldChar w:fldCharType="begin"/>
      </w:r>
      <w:r>
        <w:instrText xml:space="preserve"> PAGEREF _Toc20972 \h </w:instrText>
      </w:r>
      <w:r>
        <w:fldChar w:fldCharType="separate"/>
      </w:r>
      <w:r>
        <w:t>89</w:t>
      </w:r>
      <w:r>
        <w:fldChar w:fldCharType="end"/>
      </w:r>
      <w:r>
        <w:rPr>
          <w:highlight w:val="none"/>
        </w:rPr>
        <w:fldChar w:fldCharType="end"/>
      </w:r>
    </w:p>
    <w:p>
      <w:pPr>
        <w:rPr>
          <w:highlight w:val="none"/>
        </w:rPr>
      </w:pPr>
      <w:r>
        <w:rPr>
          <w:highlight w:val="none"/>
        </w:rPr>
        <w:fldChar w:fldCharType="end"/>
      </w:r>
    </w:p>
    <w:p>
      <w:pPr>
        <w:pStyle w:val="28"/>
        <w:spacing w:before="120" w:after="120"/>
        <w:rPr>
          <w:highlight w:val="none"/>
        </w:rPr>
      </w:pPr>
      <w:r>
        <w:rPr>
          <w:rFonts w:hint="eastAsia"/>
          <w:highlight w:val="none"/>
        </w:rPr>
        <w:br w:type="page"/>
      </w:r>
      <w:bookmarkEnd w:id="2"/>
      <w:bookmarkEnd w:id="9"/>
      <w:bookmarkEnd w:id="10"/>
      <w:bookmarkStart w:id="12" w:name="_Toc5927"/>
      <w:bookmarkStart w:id="13" w:name="_Toc9731"/>
      <w:bookmarkStart w:id="14" w:name="_Toc213396945"/>
      <w:bookmarkStart w:id="15" w:name="_Toc217446031"/>
      <w:bookmarkStart w:id="16" w:name="_Toc213496267"/>
      <w:bookmarkStart w:id="17" w:name="_Toc213396759"/>
      <w:bookmarkStart w:id="18" w:name="_Toc213397009"/>
      <w:r>
        <w:rPr>
          <w:rFonts w:hint="eastAsia"/>
          <w:highlight w:val="none"/>
        </w:rPr>
        <w:t>投标邀请</w:t>
      </w:r>
      <w:bookmarkEnd w:id="11"/>
      <w:bookmarkEnd w:id="12"/>
      <w:bookmarkEnd w:id="13"/>
    </w:p>
    <w:p>
      <w:pPr>
        <w:pStyle w:val="33"/>
        <w:rPr>
          <w:highlight w:val="none"/>
        </w:rPr>
      </w:pPr>
      <w:r>
        <w:rPr>
          <w:rFonts w:hint="eastAsia"/>
          <w:highlight w:val="none"/>
          <w:lang w:val="zh-CN"/>
        </w:rPr>
        <w:t>四川乾新招投标代理有限公司</w:t>
      </w:r>
      <w:r>
        <w:rPr>
          <w:rFonts w:hint="eastAsia"/>
          <w:highlight w:val="none"/>
        </w:rPr>
        <w:t>受成都市技师学院的委托，拟对成都市技师学院(成都工贸职业技术学院)城市轨道交通信号工正线联锁实训设备采购项目进行国内公开招标，兹邀请符合本次招标要求的供应商参加投标。</w:t>
      </w:r>
    </w:p>
    <w:p>
      <w:pPr>
        <w:pStyle w:val="29"/>
        <w:numPr>
          <w:ilvl w:val="0"/>
          <w:numId w:val="7"/>
        </w:numPr>
        <w:ind w:firstLine="482" w:firstLineChars="200"/>
        <w:rPr>
          <w:highlight w:val="none"/>
        </w:rPr>
      </w:pPr>
      <w:r>
        <w:rPr>
          <w:rFonts w:hint="eastAsia"/>
          <w:b/>
          <w:bCs/>
          <w:highlight w:val="none"/>
        </w:rPr>
        <w:t xml:space="preserve">项目编号：510 </w:t>
      </w:r>
      <w:r>
        <w:rPr>
          <w:rFonts w:hint="eastAsia"/>
          <w:highlight w:val="none"/>
        </w:rPr>
        <w:t xml:space="preserve">         </w:t>
      </w:r>
    </w:p>
    <w:p>
      <w:pPr>
        <w:pStyle w:val="29"/>
        <w:numPr>
          <w:ilvl w:val="0"/>
          <w:numId w:val="7"/>
        </w:numPr>
        <w:ind w:firstLine="482" w:firstLineChars="200"/>
        <w:rPr>
          <w:highlight w:val="none"/>
        </w:rPr>
      </w:pPr>
      <w:r>
        <w:rPr>
          <w:rFonts w:hint="eastAsia"/>
          <w:b/>
          <w:bCs/>
          <w:highlight w:val="none"/>
        </w:rPr>
        <w:t>项目名称：成都市技师学院(成都工贸职业技术学院)城市轨道交通信号工正线联锁实训设备采购项目</w:t>
      </w:r>
    </w:p>
    <w:p>
      <w:pPr>
        <w:pStyle w:val="29"/>
        <w:numPr>
          <w:ilvl w:val="0"/>
          <w:numId w:val="7"/>
        </w:numPr>
        <w:ind w:firstLine="482" w:firstLineChars="200"/>
        <w:rPr>
          <w:b/>
          <w:bCs/>
          <w:highlight w:val="none"/>
        </w:rPr>
      </w:pPr>
      <w:r>
        <w:rPr>
          <w:rFonts w:hint="eastAsia"/>
          <w:b/>
          <w:bCs/>
          <w:highlight w:val="none"/>
        </w:rPr>
        <w:t>资金来源：</w:t>
      </w:r>
      <w:r>
        <w:rPr>
          <w:rFonts w:hint="eastAsia" w:ascii="宋体" w:hAnsi="宋体" w:eastAsia="宋体"/>
          <w:b/>
          <w:bCs/>
          <w:highlight w:val="none"/>
        </w:rPr>
        <w:t>根据成都市财政局下达的《成都市市级政府采购实施计划备案表》(备案号：(2021)3506号)，该项目预算资金为人民币140万元，采购品目：</w:t>
      </w:r>
      <w:r>
        <w:rPr>
          <w:rFonts w:hint="eastAsia" w:ascii="宋体" w:hAnsi="宋体" w:eastAsia="宋体"/>
          <w:b/>
          <w:bCs/>
          <w:sz w:val="24"/>
          <w:szCs w:val="24"/>
          <w:highlight w:val="none"/>
          <w:shd w:val="clear"/>
        </w:rPr>
        <w:t>A0330</w:t>
      </w:r>
      <w:r>
        <w:rPr>
          <w:rFonts w:hint="eastAsia" w:ascii="宋体" w:hAnsi="宋体" w:eastAsia="宋体"/>
          <w:b/>
          <w:bCs/>
          <w:sz w:val="24"/>
          <w:szCs w:val="24"/>
          <w:highlight w:val="none"/>
          <w:shd w:val="clear"/>
          <w:lang w:eastAsia="zh-CN"/>
        </w:rPr>
        <w:t>(</w:t>
      </w:r>
      <w:r>
        <w:rPr>
          <w:rFonts w:hint="eastAsia" w:ascii="宋体" w:hAnsi="宋体" w:eastAsia="宋体"/>
          <w:b/>
          <w:bCs/>
          <w:sz w:val="24"/>
          <w:szCs w:val="24"/>
          <w:highlight w:val="none"/>
          <w:shd w:val="clear"/>
        </w:rPr>
        <w:t>铁路运输设备</w:t>
      </w:r>
      <w:r>
        <w:rPr>
          <w:rFonts w:hint="eastAsia" w:ascii="宋体" w:hAnsi="宋体" w:eastAsia="宋体"/>
          <w:b/>
          <w:bCs/>
          <w:sz w:val="24"/>
          <w:szCs w:val="24"/>
          <w:highlight w:val="none"/>
          <w:shd w:val="clear"/>
          <w:lang w:eastAsia="zh-CN"/>
        </w:rPr>
        <w:t>)</w:t>
      </w:r>
      <w:r>
        <w:rPr>
          <w:rFonts w:hint="eastAsia" w:ascii="宋体" w:hAnsi="宋体" w:eastAsia="宋体"/>
          <w:b/>
          <w:bCs/>
          <w:highlight w:val="none"/>
        </w:rPr>
        <w:t>。</w:t>
      </w:r>
    </w:p>
    <w:p>
      <w:pPr>
        <w:pStyle w:val="29"/>
        <w:numPr>
          <w:ilvl w:val="0"/>
          <w:numId w:val="7"/>
        </w:numPr>
        <w:ind w:firstLine="482" w:firstLineChars="200"/>
        <w:rPr>
          <w:b/>
          <w:bCs/>
          <w:highlight w:val="none"/>
        </w:rPr>
      </w:pPr>
      <w:r>
        <w:rPr>
          <w:rFonts w:hint="eastAsia"/>
          <w:b/>
          <w:bCs/>
          <w:highlight w:val="none"/>
        </w:rPr>
        <w:t>招标项目简介：</w:t>
      </w:r>
    </w:p>
    <w:p>
      <w:pPr>
        <w:pStyle w:val="29"/>
        <w:ind w:firstLine="482" w:firstLineChars="200"/>
        <w:rPr>
          <w:highlight w:val="none"/>
        </w:rPr>
      </w:pPr>
      <w:r>
        <w:rPr>
          <w:rFonts w:hint="eastAsia"/>
          <w:b/>
          <w:bCs/>
          <w:highlight w:val="none"/>
        </w:rPr>
        <w:t>(一)采购内容：</w:t>
      </w:r>
      <w:r>
        <w:rPr>
          <w:rFonts w:hint="eastAsia"/>
          <w:highlight w:val="none"/>
        </w:rPr>
        <w:t>城市轨道交通信号工正线联锁实训设备一批，具体详见招标文件第六章。</w:t>
      </w:r>
    </w:p>
    <w:p>
      <w:pPr>
        <w:pStyle w:val="29"/>
        <w:ind w:firstLine="482" w:firstLineChars="200"/>
        <w:rPr>
          <w:b/>
          <w:bCs/>
          <w:highlight w:val="none"/>
        </w:rPr>
      </w:pPr>
      <w:r>
        <w:rPr>
          <w:rFonts w:hint="eastAsia"/>
          <w:b/>
          <w:bCs/>
          <w:highlight w:val="none"/>
        </w:rPr>
        <w:t>(二)采购包划分：本项目共计1个包，设置1名中标人。</w:t>
      </w:r>
    </w:p>
    <w:p>
      <w:pPr>
        <w:pStyle w:val="29"/>
        <w:ind w:firstLine="482" w:firstLineChars="200"/>
        <w:rPr>
          <w:highlight w:val="none"/>
        </w:rPr>
      </w:pPr>
      <w:r>
        <w:rPr>
          <w:rFonts w:hint="eastAsia"/>
          <w:b/>
          <w:bCs/>
          <w:highlight w:val="none"/>
        </w:rPr>
        <w:t>(三)采购用途：</w:t>
      </w:r>
      <w:r>
        <w:rPr>
          <w:rFonts w:hint="eastAsia"/>
          <w:highlight w:val="none"/>
        </w:rPr>
        <w:t>用于进一步提升城市轨道交通专业的产、学、研能力，虚实结合，提升城市轨道交通信号工高技能人才培养水平。</w:t>
      </w:r>
    </w:p>
    <w:p>
      <w:pPr>
        <w:pStyle w:val="29"/>
        <w:ind w:firstLine="482" w:firstLineChars="200"/>
        <w:rPr>
          <w:highlight w:val="none"/>
        </w:rPr>
      </w:pPr>
      <w:r>
        <w:rPr>
          <w:rFonts w:hint="eastAsia"/>
          <w:b/>
          <w:bCs/>
          <w:highlight w:val="none"/>
        </w:rPr>
        <w:t>(四)项目性质：</w:t>
      </w:r>
      <w:r>
        <w:rPr>
          <w:rFonts w:hint="eastAsia"/>
          <w:highlight w:val="none"/>
        </w:rPr>
        <w:t>政府采购。</w:t>
      </w:r>
    </w:p>
    <w:p>
      <w:pPr>
        <w:pStyle w:val="29"/>
        <w:ind w:firstLine="482" w:firstLineChars="200"/>
        <w:rPr>
          <w:highlight w:val="none"/>
        </w:rPr>
      </w:pPr>
      <w:r>
        <w:rPr>
          <w:rFonts w:hint="eastAsia"/>
          <w:b/>
          <w:bCs/>
          <w:highlight w:val="none"/>
        </w:rPr>
        <w:t>(五)组织形式：</w:t>
      </w:r>
      <w:r>
        <w:rPr>
          <w:rFonts w:hint="eastAsia"/>
          <w:highlight w:val="none"/>
        </w:rPr>
        <w:t>分散采购。</w:t>
      </w:r>
    </w:p>
    <w:p>
      <w:pPr>
        <w:pStyle w:val="29"/>
        <w:numPr>
          <w:ilvl w:val="0"/>
          <w:numId w:val="7"/>
        </w:numPr>
        <w:ind w:firstLine="482" w:firstLineChars="200"/>
        <w:rPr>
          <w:b/>
          <w:bCs/>
          <w:highlight w:val="none"/>
        </w:rPr>
      </w:pPr>
      <w:r>
        <w:rPr>
          <w:rFonts w:hint="eastAsia"/>
          <w:b/>
          <w:bCs/>
          <w:highlight w:val="none"/>
        </w:rPr>
        <w:t>供应商参加本次政府采购活动应具备下列条件：</w:t>
      </w:r>
    </w:p>
    <w:p>
      <w:pPr>
        <w:pStyle w:val="29"/>
        <w:ind w:firstLine="480" w:firstLineChars="200"/>
        <w:rPr>
          <w:highlight w:val="none"/>
          <w:lang w:val="zh-CN"/>
        </w:rPr>
      </w:pPr>
      <w:r>
        <w:rPr>
          <w:rFonts w:hint="eastAsia"/>
          <w:highlight w:val="none"/>
        </w:rPr>
        <w:t>(一)</w:t>
      </w:r>
      <w:r>
        <w:rPr>
          <w:rFonts w:hint="eastAsia"/>
          <w:highlight w:val="none"/>
          <w:lang w:val="zh-CN"/>
        </w:rPr>
        <w:t>符合《中华人民共和国政府采购法》第二十二条规定的条件：</w:t>
      </w:r>
    </w:p>
    <w:p>
      <w:pPr>
        <w:pStyle w:val="29"/>
        <w:ind w:firstLine="480" w:firstLineChars="200"/>
        <w:rPr>
          <w:highlight w:val="none"/>
        </w:rPr>
      </w:pPr>
      <w:r>
        <w:rPr>
          <w:rFonts w:hint="eastAsia"/>
          <w:highlight w:val="none"/>
        </w:rPr>
        <w:t>1.具有独立承担</w:t>
      </w:r>
      <w:r>
        <w:rPr>
          <w:rFonts w:hint="eastAsia"/>
          <w:highlight w:val="none"/>
        </w:rPr>
        <w:fldChar w:fldCharType="begin"/>
      </w:r>
      <w:r>
        <w:rPr>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29"/>
        <w:ind w:firstLine="480" w:firstLineChars="200"/>
        <w:rPr>
          <w:highlight w:val="none"/>
        </w:rPr>
      </w:pPr>
      <w:r>
        <w:rPr>
          <w:rFonts w:hint="eastAsia"/>
          <w:highlight w:val="none"/>
        </w:rPr>
        <w:t>2.具有良好的商业信誉和健全的财务会计制度；</w:t>
      </w:r>
    </w:p>
    <w:p>
      <w:pPr>
        <w:pStyle w:val="29"/>
        <w:ind w:firstLine="480" w:firstLineChars="200"/>
        <w:rPr>
          <w:highlight w:val="none"/>
        </w:rPr>
      </w:pPr>
      <w:r>
        <w:rPr>
          <w:rFonts w:hint="eastAsia"/>
          <w:highlight w:val="none"/>
        </w:rPr>
        <w:t>3.具有履行合同所必需的设备和专业技术能力；</w:t>
      </w:r>
    </w:p>
    <w:p>
      <w:pPr>
        <w:pStyle w:val="29"/>
        <w:ind w:firstLine="480" w:firstLineChars="200"/>
        <w:rPr>
          <w:highlight w:val="none"/>
        </w:rPr>
      </w:pPr>
      <w:r>
        <w:rPr>
          <w:rFonts w:hint="eastAsia"/>
          <w:highlight w:val="none"/>
        </w:rPr>
        <w:t>4.有依法缴纳税收和</w:t>
      </w:r>
      <w:r>
        <w:rPr>
          <w:rFonts w:hint="eastAsia"/>
          <w:highlight w:val="none"/>
        </w:rPr>
        <w:fldChar w:fldCharType="begin"/>
      </w:r>
      <w:r>
        <w:rPr>
          <w:highlight w:val="none"/>
        </w:rPr>
        <w:instrText xml:space="preserve"> HYPERLINK "http://www.lawtime.cn/info/laodong/shehuibaozhang/" \t "_blank" </w:instrText>
      </w:r>
      <w:r>
        <w:rPr>
          <w:rFonts w:hint="eastAsia"/>
          <w:highlight w:val="none"/>
        </w:rPr>
        <w:fldChar w:fldCharType="separate"/>
      </w:r>
      <w:r>
        <w:rPr>
          <w:rFonts w:hint="eastAsia"/>
          <w:highlight w:val="none"/>
        </w:rPr>
        <w:t>社会保障</w:t>
      </w:r>
      <w:r>
        <w:rPr>
          <w:rFonts w:hint="eastAsia"/>
          <w:highlight w:val="none"/>
        </w:rPr>
        <w:fldChar w:fldCharType="end"/>
      </w:r>
      <w:r>
        <w:rPr>
          <w:rFonts w:hint="eastAsia"/>
          <w:highlight w:val="none"/>
        </w:rPr>
        <w:t>资金的良好记录；</w:t>
      </w:r>
    </w:p>
    <w:p>
      <w:pPr>
        <w:pStyle w:val="29"/>
        <w:ind w:firstLine="480" w:firstLineChars="200"/>
        <w:rPr>
          <w:highlight w:val="none"/>
        </w:rPr>
      </w:pPr>
      <w:r>
        <w:rPr>
          <w:rFonts w:hint="eastAsia"/>
          <w:highlight w:val="none"/>
        </w:rPr>
        <w:t>5.参加政府采购活动前三年内，在经营活动中没有重大违法记录；</w:t>
      </w:r>
    </w:p>
    <w:p>
      <w:pPr>
        <w:pStyle w:val="29"/>
        <w:ind w:firstLine="480" w:firstLineChars="200"/>
        <w:rPr>
          <w:highlight w:val="none"/>
        </w:rPr>
      </w:pPr>
      <w:r>
        <w:rPr>
          <w:rFonts w:hint="eastAsia"/>
          <w:highlight w:val="none"/>
        </w:rPr>
        <w:t>6.法律、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highlight w:val="none"/>
        </w:rPr>
        <w:t>行政法</w:t>
      </w:r>
      <w:r>
        <w:rPr>
          <w:rFonts w:hint="eastAsia"/>
          <w:highlight w:val="none"/>
        </w:rPr>
        <w:fldChar w:fldCharType="end"/>
      </w:r>
      <w:r>
        <w:rPr>
          <w:rFonts w:hint="eastAsia"/>
          <w:highlight w:val="none"/>
        </w:rPr>
        <w:t>规规定的其他条件。</w:t>
      </w:r>
    </w:p>
    <w:p>
      <w:pPr>
        <w:pStyle w:val="29"/>
        <w:ind w:firstLine="480" w:firstLineChars="200"/>
        <w:rPr>
          <w:highlight w:val="none"/>
          <w:lang w:val="zh-CN"/>
        </w:rPr>
      </w:pPr>
      <w:r>
        <w:rPr>
          <w:rFonts w:hint="eastAsia"/>
          <w:highlight w:val="none"/>
        </w:rPr>
        <w:t>(二)</w:t>
      </w:r>
      <w:r>
        <w:rPr>
          <w:rFonts w:hint="eastAsia"/>
          <w:highlight w:val="none"/>
          <w:lang w:val="zh-CN"/>
        </w:rPr>
        <w:t>本项目的特定资格要求：</w:t>
      </w:r>
      <w:r>
        <w:rPr>
          <w:rFonts w:hint="eastAsia"/>
          <w:highlight w:val="none"/>
        </w:rPr>
        <w:t>本项目不接受联合体投标。</w:t>
      </w:r>
    </w:p>
    <w:p>
      <w:pPr>
        <w:pStyle w:val="29"/>
        <w:numPr>
          <w:ilvl w:val="0"/>
          <w:numId w:val="7"/>
        </w:numPr>
        <w:ind w:firstLine="482" w:firstLineChars="200"/>
        <w:rPr>
          <w:b/>
          <w:bCs/>
          <w:highlight w:val="none"/>
        </w:rPr>
      </w:pPr>
      <w:r>
        <w:rPr>
          <w:rFonts w:hint="eastAsia"/>
          <w:b/>
          <w:bCs/>
          <w:highlight w:val="none"/>
        </w:rPr>
        <w:t>禁止参加本次采购活动的供应商</w:t>
      </w:r>
    </w:p>
    <w:p>
      <w:pPr>
        <w:pStyle w:val="42"/>
        <w:wordWrap w:val="0"/>
        <w:ind w:firstLine="480" w:firstLineChars="200"/>
        <w:rPr>
          <w:highlight w:val="none"/>
        </w:rPr>
      </w:pPr>
      <w:bookmarkStart w:id="19" w:name="PO_默认文件内容_4"/>
      <w:r>
        <w:rPr>
          <w:rFonts w:hint="eastAsia"/>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9"/>
        <w:numPr>
          <w:ilvl w:val="0"/>
          <w:numId w:val="7"/>
        </w:numPr>
        <w:ind w:firstLine="482" w:firstLineChars="200"/>
        <w:rPr>
          <w:b/>
          <w:bCs/>
          <w:highlight w:val="none"/>
        </w:rPr>
      </w:pPr>
      <w:r>
        <w:rPr>
          <w:rFonts w:hint="eastAsia"/>
          <w:b/>
          <w:bCs/>
          <w:highlight w:val="none"/>
        </w:rPr>
        <w:t>招标文件获取</w:t>
      </w:r>
    </w:p>
    <w:p>
      <w:pPr>
        <w:pStyle w:val="41"/>
        <w:numPr>
          <w:ilvl w:val="1"/>
          <w:numId w:val="8"/>
        </w:numPr>
        <w:ind w:firstLine="482"/>
        <w:rPr>
          <w:rFonts w:cs="宋体"/>
          <w:b/>
          <w:bCs/>
          <w:highlight w:val="none"/>
          <w:lang w:val="zh-CN"/>
        </w:rPr>
      </w:pPr>
      <w:r>
        <w:rPr>
          <w:rFonts w:hint="eastAsia" w:cs="宋体"/>
          <w:b/>
          <w:bCs/>
          <w:highlight w:val="none"/>
          <w:lang w:val="zh-CN"/>
        </w:rPr>
        <w:t>招标文件获取时间：</w:t>
      </w:r>
      <w:r>
        <w:rPr>
          <w:rFonts w:hint="eastAsia" w:cs="宋体"/>
          <w:highlight w:val="none"/>
        </w:rPr>
        <w:t>2021年 月 日至2021年 月 日(北京时间，法定节假日除外)。</w:t>
      </w:r>
    </w:p>
    <w:p>
      <w:pPr>
        <w:pStyle w:val="41"/>
        <w:numPr>
          <w:ilvl w:val="1"/>
          <w:numId w:val="8"/>
        </w:numPr>
        <w:ind w:firstLine="482"/>
        <w:rPr>
          <w:rFonts w:cs="宋体"/>
          <w:b/>
          <w:bCs/>
          <w:highlight w:val="none"/>
          <w:lang w:val="zh-CN"/>
        </w:rPr>
      </w:pPr>
      <w:r>
        <w:rPr>
          <w:rFonts w:hint="eastAsia" w:cs="宋体"/>
          <w:b/>
          <w:bCs/>
          <w:highlight w:val="none"/>
          <w:lang w:val="zh-CN"/>
        </w:rPr>
        <w:t>招标文件获取方式：投标人从“政府采购云平台”获取采购文件(网址：</w:t>
      </w:r>
      <w:r>
        <w:rPr>
          <w:highlight w:val="none"/>
        </w:rPr>
        <w:fldChar w:fldCharType="begin"/>
      </w:r>
      <w:r>
        <w:rPr>
          <w:highlight w:val="none"/>
        </w:rPr>
        <w:instrText xml:space="preserve"> HYPERLINK "https://www.zcygov.cn）项目采购—获取采购文件—申请获取采购文件。_x0005_" </w:instrText>
      </w:r>
      <w:r>
        <w:rPr>
          <w:highlight w:val="none"/>
        </w:rPr>
        <w:fldChar w:fldCharType="separate"/>
      </w:r>
      <w:r>
        <w:rPr>
          <w:rFonts w:hint="eastAsia" w:cs="宋体"/>
          <w:b/>
          <w:bCs/>
          <w:highlight w:val="none"/>
          <w:lang w:val="zh-CN"/>
        </w:rPr>
        <w:t>https://www.zcygov.cn)。登录“政府采购云平台”—项目采购—获取采购文件—申请获取采购文件</w:t>
      </w:r>
      <w:r>
        <w:rPr>
          <w:rFonts w:hint="eastAsia" w:cs="宋体"/>
          <w:b/>
          <w:bCs/>
          <w:highlight w:val="none"/>
          <w:lang w:val="zh-CN"/>
        </w:rPr>
        <w:fldChar w:fldCharType="end"/>
      </w:r>
      <w:r>
        <w:rPr>
          <w:rFonts w:hint="eastAsia" w:cs="宋体"/>
          <w:b/>
          <w:bCs/>
          <w:highlight w:val="none"/>
          <w:lang w:val="zh-CN"/>
        </w:rPr>
        <w:t>。</w:t>
      </w:r>
    </w:p>
    <w:p>
      <w:pPr>
        <w:pStyle w:val="29"/>
        <w:ind w:firstLine="482" w:firstLineChars="200"/>
        <w:rPr>
          <w:rFonts w:cs="宋体"/>
          <w:b/>
          <w:bCs/>
          <w:highlight w:val="none"/>
          <w:lang w:val="zh-CN"/>
        </w:rPr>
      </w:pPr>
      <w:r>
        <w:rPr>
          <w:rFonts w:hint="eastAsia" w:cs="宋体"/>
          <w:b/>
          <w:bCs/>
          <w:highlight w:val="none"/>
          <w:lang w:val="zh-CN"/>
        </w:rPr>
        <w:t>提示：</w:t>
      </w:r>
    </w:p>
    <w:p>
      <w:pPr>
        <w:pStyle w:val="29"/>
        <w:ind w:firstLine="482" w:firstLineChars="200"/>
        <w:rPr>
          <w:rFonts w:cs="宋体"/>
          <w:b/>
          <w:bCs/>
          <w:highlight w:val="none"/>
          <w:lang w:val="zh-CN"/>
        </w:rPr>
      </w:pPr>
      <w:r>
        <w:rPr>
          <w:rFonts w:hint="eastAsia" w:cs="宋体"/>
          <w:b/>
          <w:bCs/>
          <w:highlight w:val="none"/>
        </w:rPr>
        <w:t>1.</w:t>
      </w:r>
      <w:r>
        <w:rPr>
          <w:rFonts w:hint="eastAsia" w:cs="宋体"/>
          <w:b/>
          <w:bCs/>
          <w:highlight w:val="none"/>
          <w:lang w:val="zh-CN"/>
        </w:rPr>
        <w:t>本项目招标文件免费获取，</w:t>
      </w:r>
      <w:r>
        <w:rPr>
          <w:rFonts w:hint="eastAsia" w:cs="宋体"/>
          <w:b/>
          <w:bCs/>
          <w:highlight w:val="none"/>
        </w:rPr>
        <w:t>投标资格不得转让</w:t>
      </w:r>
      <w:r>
        <w:rPr>
          <w:rFonts w:hint="eastAsia" w:cs="宋体"/>
          <w:b/>
          <w:bCs/>
          <w:highlight w:val="none"/>
          <w:lang w:val="zh-CN"/>
        </w:rPr>
        <w:t>。</w:t>
      </w:r>
    </w:p>
    <w:p>
      <w:pPr>
        <w:pStyle w:val="29"/>
        <w:ind w:firstLine="482" w:firstLineChars="200"/>
        <w:rPr>
          <w:rFonts w:cs="宋体"/>
          <w:b/>
          <w:bCs/>
          <w:highlight w:val="none"/>
          <w:lang w:val="zh-CN"/>
        </w:rPr>
      </w:pPr>
      <w:r>
        <w:rPr>
          <w:rFonts w:hint="eastAsia" w:cs="宋体"/>
          <w:b/>
          <w:bCs/>
          <w:highlight w:val="none"/>
        </w:rPr>
        <w:t>2.</w:t>
      </w:r>
      <w:r>
        <w:rPr>
          <w:rFonts w:hint="eastAsia" w:cs="宋体"/>
          <w:b/>
          <w:bCs/>
          <w:highlight w:val="none"/>
          <w:lang w:val="zh-CN"/>
        </w:rPr>
        <w:t>投标人只有在“政府采购云平台”完成获取招标文件申请并下载招标文件后才视作依法参与本项目。如未在“政府采购云平台”内完成相关流程，引起的投标无效责任自负。</w:t>
      </w:r>
    </w:p>
    <w:p>
      <w:pPr>
        <w:pStyle w:val="29"/>
        <w:ind w:firstLine="482" w:firstLineChars="200"/>
        <w:rPr>
          <w:highlight w:val="none"/>
        </w:rPr>
      </w:pPr>
      <w:r>
        <w:rPr>
          <w:rFonts w:hint="eastAsia" w:cs="宋体"/>
          <w:b/>
          <w:bCs/>
          <w:highlight w:val="none"/>
        </w:rPr>
        <w:t>3.</w:t>
      </w:r>
      <w:r>
        <w:rPr>
          <w:rFonts w:hint="eastAsia" w:cs="宋体"/>
          <w:b/>
          <w:bCs/>
          <w:highlight w:val="none"/>
          <w:lang w:val="zh-CN"/>
        </w:rPr>
        <w:t>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highlight w:val="none"/>
        </w:rPr>
        <w:t>一：</w:t>
      </w:r>
      <w:r>
        <w:rPr>
          <w:rFonts w:hint="eastAsia" w:cs="宋体"/>
          <w:b/>
          <w:bCs/>
          <w:highlight w:val="none"/>
          <w:lang w:val="zh-CN"/>
        </w:rPr>
        <w:t>政府采购云平台使用介绍)</w:t>
      </w:r>
      <w:r>
        <w:rPr>
          <w:rFonts w:hint="eastAsia"/>
          <w:highlight w:val="none"/>
        </w:rPr>
        <w:t>。</w:t>
      </w:r>
    </w:p>
    <w:p>
      <w:pPr>
        <w:pStyle w:val="29"/>
        <w:numPr>
          <w:ilvl w:val="0"/>
          <w:numId w:val="7"/>
        </w:numPr>
        <w:ind w:firstLine="482" w:firstLineChars="200"/>
        <w:rPr>
          <w:rFonts w:cs="宋体"/>
          <w:b/>
          <w:bCs/>
          <w:highlight w:val="none"/>
        </w:rPr>
      </w:pPr>
      <w:r>
        <w:rPr>
          <w:rFonts w:hint="eastAsia" w:cs="宋体"/>
          <w:b/>
          <w:bCs/>
          <w:highlight w:val="none"/>
        </w:rPr>
        <w:t>提交投标文件截止时间及开标时间：</w:t>
      </w:r>
      <w:r>
        <w:rPr>
          <w:rFonts w:hint="eastAsia" w:cs="宋体"/>
          <w:highlight w:val="none"/>
        </w:rPr>
        <w:t>2021年10月</w:t>
      </w:r>
      <w:r>
        <w:rPr>
          <w:rFonts w:hint="eastAsia" w:cs="宋体"/>
          <w:highlight w:val="none"/>
          <w:lang w:val="en-US" w:eastAsia="zh-CN"/>
        </w:rPr>
        <w:t xml:space="preserve"> </w:t>
      </w:r>
      <w:r>
        <w:rPr>
          <w:rFonts w:hint="eastAsia" w:cs="宋体"/>
          <w:highlight w:val="none"/>
        </w:rPr>
        <w:t>日09时30分。</w:t>
      </w:r>
    </w:p>
    <w:p>
      <w:pPr>
        <w:pStyle w:val="29"/>
        <w:ind w:firstLine="482" w:firstLineChars="200"/>
        <w:rPr>
          <w:highlight w:val="none"/>
        </w:rPr>
      </w:pPr>
      <w:r>
        <w:rPr>
          <w:rFonts w:hint="eastAsia" w:cs="宋体"/>
          <w:b/>
          <w:bCs/>
          <w:highlight w:val="none"/>
        </w:rPr>
        <w:t>投标截止时间前，投标人应将加密的电子投标文件递交至“政府采购云平台”对应项目(包件)</w:t>
      </w:r>
      <w:r>
        <w:rPr>
          <w:rFonts w:hint="eastAsia"/>
          <w:highlight w:val="none"/>
        </w:rPr>
        <w:t>。</w:t>
      </w:r>
    </w:p>
    <w:p>
      <w:pPr>
        <w:pStyle w:val="29"/>
        <w:numPr>
          <w:ilvl w:val="0"/>
          <w:numId w:val="7"/>
        </w:numPr>
        <w:ind w:firstLine="482" w:firstLineChars="200"/>
        <w:rPr>
          <w:rFonts w:cs="宋体"/>
          <w:b/>
          <w:bCs/>
          <w:highlight w:val="none"/>
        </w:rPr>
      </w:pPr>
      <w:r>
        <w:rPr>
          <w:rFonts w:hint="eastAsia" w:cs="宋体"/>
          <w:b/>
          <w:bCs/>
          <w:highlight w:val="none"/>
        </w:rPr>
        <w:t>开标地点</w:t>
      </w:r>
    </w:p>
    <w:p>
      <w:pPr>
        <w:wordWrap w:val="0"/>
        <w:ind w:firstLine="480" w:firstLineChars="200"/>
        <w:rPr>
          <w:rFonts w:cs="宋体"/>
          <w:snapToGrid w:val="0"/>
          <w:highlight w:val="none"/>
        </w:rPr>
      </w:pPr>
      <w:r>
        <w:rPr>
          <w:rFonts w:hint="eastAsia" w:cs="宋体"/>
          <w:snapToGrid w:val="0"/>
          <w:highlight w:val="none"/>
        </w:rPr>
        <w:t>(一)本项目为不见面开标项目。</w:t>
      </w:r>
    </w:p>
    <w:p>
      <w:pPr>
        <w:wordWrap w:val="0"/>
        <w:ind w:firstLine="480" w:firstLineChars="200"/>
        <w:rPr>
          <w:rFonts w:cs="宋体"/>
          <w:snapToGrid w:val="0"/>
          <w:highlight w:val="none"/>
        </w:rPr>
      </w:pPr>
      <w:r>
        <w:rPr>
          <w:rFonts w:hint="eastAsia" w:cs="宋体"/>
          <w:snapToGrid w:val="0"/>
          <w:highlight w:val="none"/>
        </w:rPr>
        <w:t>(二)开标地点：政府采购云平台(https://www.zcygov.cn)</w:t>
      </w:r>
    </w:p>
    <w:p>
      <w:pPr>
        <w:pStyle w:val="29"/>
        <w:ind w:firstLine="480" w:firstLineChars="200"/>
        <w:rPr>
          <w:b/>
          <w:bCs/>
          <w:highlight w:val="none"/>
        </w:rPr>
      </w:pPr>
      <w:r>
        <w:rPr>
          <w:rFonts w:hint="eastAsia" w:cs="宋体"/>
          <w:highlight w:val="none"/>
        </w:rPr>
        <w:t>(三)本项目只接受投标人加密并递交至“政府采购云平台”的投标文件</w:t>
      </w:r>
      <w:r>
        <w:rPr>
          <w:rFonts w:hint="eastAsia"/>
          <w:highlight w:val="none"/>
        </w:rPr>
        <w:t>。</w:t>
      </w:r>
    </w:p>
    <w:p>
      <w:pPr>
        <w:pStyle w:val="29"/>
        <w:numPr>
          <w:ilvl w:val="0"/>
          <w:numId w:val="7"/>
        </w:numPr>
        <w:ind w:firstLine="480" w:firstLineChars="200"/>
        <w:rPr>
          <w:b/>
          <w:bCs/>
          <w:highlight w:val="none"/>
        </w:rPr>
      </w:pPr>
      <w:r>
        <w:rPr>
          <w:rFonts w:hint="eastAsia" w:cs="宋体"/>
          <w:highlight w:val="none"/>
        </w:rPr>
        <w:t>本投标邀请在“四川政府采购网”上以公告形式发布</w:t>
      </w:r>
      <w:r>
        <w:rPr>
          <w:rFonts w:hint="eastAsia"/>
          <w:highlight w:val="none"/>
        </w:rPr>
        <w:t>。</w:t>
      </w:r>
    </w:p>
    <w:p>
      <w:pPr>
        <w:pStyle w:val="29"/>
        <w:numPr>
          <w:ilvl w:val="0"/>
          <w:numId w:val="7"/>
        </w:numPr>
        <w:ind w:firstLine="482" w:firstLineChars="200"/>
        <w:rPr>
          <w:b/>
          <w:bCs/>
          <w:highlight w:val="none"/>
        </w:rPr>
      </w:pPr>
      <w:r>
        <w:rPr>
          <w:rFonts w:hint="eastAsia"/>
          <w:b/>
          <w:bCs/>
          <w:highlight w:val="none"/>
        </w:rPr>
        <w:t>供应商信用融资：</w:t>
      </w:r>
    </w:p>
    <w:p>
      <w:pPr>
        <w:pStyle w:val="33"/>
        <w:jc w:val="both"/>
        <w:rPr>
          <w:highlight w:val="none"/>
        </w:rPr>
      </w:pPr>
      <w:r>
        <w:rPr>
          <w:rFonts w:hint="eastAsia"/>
          <w:highlight w:val="none"/>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29"/>
        <w:numPr>
          <w:ilvl w:val="0"/>
          <w:numId w:val="7"/>
        </w:numPr>
        <w:ind w:firstLine="482" w:firstLineChars="200"/>
        <w:rPr>
          <w:b/>
          <w:bCs/>
          <w:highlight w:val="none"/>
        </w:rPr>
      </w:pPr>
      <w:r>
        <w:rPr>
          <w:rFonts w:hint="eastAsia"/>
          <w:b/>
          <w:bCs/>
          <w:highlight w:val="none"/>
        </w:rPr>
        <w:t>对本次招标提出询问，请按以下方式联系。</w:t>
      </w:r>
    </w:p>
    <w:p>
      <w:pPr>
        <w:pStyle w:val="29"/>
        <w:ind w:firstLine="480" w:firstLineChars="200"/>
        <w:rPr>
          <w:highlight w:val="none"/>
        </w:rPr>
      </w:pPr>
      <w:r>
        <w:rPr>
          <w:rFonts w:hint="eastAsia"/>
          <w:highlight w:val="none"/>
        </w:rPr>
        <w:t>(一)采购人信息</w:t>
      </w:r>
    </w:p>
    <w:p>
      <w:pPr>
        <w:pStyle w:val="29"/>
        <w:ind w:firstLine="480" w:firstLineChars="200"/>
        <w:rPr>
          <w:highlight w:val="none"/>
        </w:rPr>
      </w:pPr>
      <w:r>
        <w:rPr>
          <w:rFonts w:hint="eastAsia"/>
          <w:highlight w:val="none"/>
        </w:rPr>
        <w:t>名    称：成都市技师学院</w:t>
      </w:r>
    </w:p>
    <w:p>
      <w:pPr>
        <w:pStyle w:val="29"/>
        <w:ind w:firstLine="480" w:firstLineChars="200"/>
        <w:rPr>
          <w:rFonts w:cs="宋体"/>
          <w:highlight w:val="none"/>
        </w:rPr>
      </w:pPr>
      <w:r>
        <w:rPr>
          <w:rFonts w:hint="eastAsia" w:cs="宋体"/>
          <w:highlight w:val="none"/>
        </w:rPr>
        <w:t>地    址：成都市郫都区红光街道港通北三路1899号</w:t>
      </w:r>
    </w:p>
    <w:p>
      <w:pPr>
        <w:pStyle w:val="29"/>
        <w:ind w:firstLine="480" w:firstLineChars="200"/>
        <w:rPr>
          <w:rFonts w:cs="宋体"/>
          <w:highlight w:val="none"/>
        </w:rPr>
      </w:pPr>
      <w:r>
        <w:rPr>
          <w:rFonts w:hint="eastAsia" w:cs="宋体"/>
          <w:highlight w:val="none"/>
        </w:rPr>
        <w:t xml:space="preserve">联 系 人：何倩   </w:t>
      </w:r>
    </w:p>
    <w:p>
      <w:pPr>
        <w:pStyle w:val="29"/>
        <w:ind w:firstLine="480" w:firstLineChars="200"/>
        <w:rPr>
          <w:rFonts w:cs="宋体"/>
          <w:highlight w:val="none"/>
        </w:rPr>
      </w:pPr>
      <w:r>
        <w:rPr>
          <w:rFonts w:hint="eastAsia" w:cs="宋体"/>
          <w:highlight w:val="none"/>
        </w:rPr>
        <w:t>联系方式：028-64907283</w:t>
      </w:r>
    </w:p>
    <w:p>
      <w:pPr>
        <w:pStyle w:val="29"/>
        <w:ind w:firstLine="480" w:firstLineChars="200"/>
        <w:rPr>
          <w:highlight w:val="none"/>
        </w:rPr>
      </w:pPr>
      <w:r>
        <w:rPr>
          <w:rFonts w:hint="eastAsia"/>
          <w:highlight w:val="none"/>
        </w:rPr>
        <w:t>(二)采购代理机构信息</w:t>
      </w:r>
    </w:p>
    <w:p>
      <w:pPr>
        <w:pStyle w:val="29"/>
        <w:ind w:firstLine="480" w:firstLineChars="200"/>
        <w:rPr>
          <w:highlight w:val="none"/>
        </w:rPr>
      </w:pPr>
      <w:r>
        <w:rPr>
          <w:rFonts w:hint="eastAsia"/>
          <w:highlight w:val="none"/>
        </w:rPr>
        <w:t>名    称：四川乾新招投标代理有限公司</w:t>
      </w:r>
    </w:p>
    <w:p>
      <w:pPr>
        <w:pStyle w:val="29"/>
        <w:ind w:firstLine="480" w:firstLineChars="200"/>
        <w:rPr>
          <w:highlight w:val="none"/>
        </w:rPr>
      </w:pPr>
      <w:r>
        <w:rPr>
          <w:rFonts w:hint="eastAsia"/>
          <w:highlight w:val="none"/>
        </w:rPr>
        <w:t>地    址：</w:t>
      </w:r>
      <w:r>
        <w:rPr>
          <w:rFonts w:hint="eastAsia"/>
          <w:highlight w:val="none"/>
          <w:lang w:val="zh-CN"/>
        </w:rPr>
        <w:t>成都市高新区吉庆三路333号蜀都中心二期一号楼一单元401号</w:t>
      </w:r>
    </w:p>
    <w:p>
      <w:pPr>
        <w:pStyle w:val="29"/>
        <w:ind w:firstLine="480" w:firstLineChars="200"/>
        <w:rPr>
          <w:highlight w:val="none"/>
        </w:rPr>
      </w:pPr>
      <w:r>
        <w:rPr>
          <w:rFonts w:hint="eastAsia"/>
          <w:highlight w:val="none"/>
        </w:rPr>
        <w:t xml:space="preserve">联 系 人：王朝钢 </w:t>
      </w:r>
    </w:p>
    <w:p>
      <w:pPr>
        <w:pStyle w:val="29"/>
        <w:ind w:firstLine="480" w:firstLineChars="200"/>
        <w:rPr>
          <w:highlight w:val="none"/>
        </w:rPr>
      </w:pPr>
      <w:r>
        <w:rPr>
          <w:rFonts w:hint="eastAsia"/>
          <w:highlight w:val="none"/>
          <w:lang w:val="zh-CN"/>
        </w:rPr>
        <w:t>联系电话：028-61375575、62600820、62630990转</w:t>
      </w:r>
      <w:r>
        <w:rPr>
          <w:rFonts w:hint="eastAsia"/>
          <w:highlight w:val="none"/>
        </w:rPr>
        <w:t>636</w:t>
      </w:r>
    </w:p>
    <w:p>
      <w:pPr>
        <w:pStyle w:val="29"/>
        <w:ind w:firstLine="480" w:firstLineChars="200"/>
        <w:rPr>
          <w:highlight w:val="none"/>
          <w:lang w:val="zh-CN"/>
        </w:rPr>
      </w:pPr>
      <w:r>
        <w:rPr>
          <w:rFonts w:hint="eastAsia"/>
          <w:highlight w:val="none"/>
          <w:lang w:val="zh-CN"/>
        </w:rPr>
        <w:t>传    真：</w:t>
      </w:r>
      <w:r>
        <w:rPr>
          <w:rFonts w:hint="eastAsia"/>
          <w:highlight w:val="none"/>
        </w:rPr>
        <w:t>028-</w:t>
      </w:r>
      <w:r>
        <w:rPr>
          <w:rFonts w:hint="eastAsia"/>
          <w:highlight w:val="none"/>
          <w:lang w:val="zh-CN"/>
        </w:rPr>
        <w:t>83381</w:t>
      </w:r>
      <w:r>
        <w:rPr>
          <w:rFonts w:hint="eastAsia"/>
          <w:highlight w:val="none"/>
        </w:rPr>
        <w:t>268</w:t>
      </w:r>
    </w:p>
    <w:p>
      <w:pPr>
        <w:pStyle w:val="29"/>
        <w:ind w:firstLine="480" w:firstLineChars="200"/>
        <w:rPr>
          <w:highlight w:val="none"/>
          <w:lang w:val="zh-CN"/>
        </w:rPr>
      </w:pPr>
      <w:r>
        <w:rPr>
          <w:rFonts w:hint="eastAsia"/>
          <w:highlight w:val="none"/>
          <w:lang w:val="zh-CN"/>
        </w:rPr>
        <w:t>电子邮件：</w:t>
      </w:r>
      <w:r>
        <w:rPr>
          <w:rFonts w:hint="eastAsia"/>
          <w:highlight w:val="none"/>
        </w:rPr>
        <w:fldChar w:fldCharType="begin"/>
      </w:r>
      <w:r>
        <w:rPr>
          <w:highlight w:val="none"/>
        </w:rPr>
        <w:instrText xml:space="preserve"> HYPERLINK "mailto:scqxzb@163.com" </w:instrText>
      </w:r>
      <w:r>
        <w:rPr>
          <w:rFonts w:hint="eastAsia"/>
          <w:highlight w:val="none"/>
        </w:rPr>
        <w:fldChar w:fldCharType="separate"/>
      </w:r>
      <w:r>
        <w:rPr>
          <w:rFonts w:hint="eastAsia"/>
          <w:highlight w:val="none"/>
          <w:lang w:val="zh-CN"/>
        </w:rPr>
        <w:t>scqxzb@163.com</w:t>
      </w:r>
      <w:r>
        <w:rPr>
          <w:rFonts w:hint="eastAsia"/>
          <w:highlight w:val="none"/>
          <w:lang w:val="zh-CN"/>
        </w:rPr>
        <w:fldChar w:fldCharType="end"/>
      </w:r>
    </w:p>
    <w:p>
      <w:pPr>
        <w:pStyle w:val="28"/>
        <w:spacing w:before="120" w:after="120"/>
        <w:rPr>
          <w:highlight w:val="none"/>
        </w:rPr>
      </w:pPr>
      <w:r>
        <w:rPr>
          <w:rFonts w:hint="eastAsia"/>
          <w:highlight w:val="none"/>
        </w:rPr>
        <w:br w:type="page"/>
      </w:r>
      <w:bookmarkEnd w:id="14"/>
      <w:bookmarkEnd w:id="15"/>
      <w:bookmarkEnd w:id="16"/>
      <w:bookmarkEnd w:id="17"/>
      <w:bookmarkEnd w:id="18"/>
      <w:bookmarkStart w:id="20" w:name="_Toc7416"/>
      <w:bookmarkStart w:id="21" w:name="_Toc30888"/>
      <w:bookmarkStart w:id="22" w:name="_Toc2482"/>
      <w:bookmarkStart w:id="23" w:name="_Toc25408"/>
      <w:bookmarkStart w:id="24" w:name="_Toc25668"/>
      <w:r>
        <w:rPr>
          <w:rFonts w:hint="eastAsia"/>
          <w:highlight w:val="none"/>
        </w:rPr>
        <w:t>投标人须知</w:t>
      </w:r>
      <w:bookmarkEnd w:id="20"/>
      <w:bookmarkEnd w:id="21"/>
      <w:bookmarkEnd w:id="22"/>
      <w:bookmarkEnd w:id="23"/>
      <w:bookmarkEnd w:id="24"/>
    </w:p>
    <w:p>
      <w:pPr>
        <w:pStyle w:val="50"/>
        <w:spacing w:before="120" w:after="120"/>
        <w:rPr>
          <w:highlight w:val="none"/>
        </w:rPr>
      </w:pPr>
      <w:bookmarkStart w:id="25" w:name="_Toc189727030"/>
      <w:bookmarkStart w:id="26" w:name="_Toc213496268"/>
      <w:bookmarkStart w:id="27" w:name="_Toc14035"/>
      <w:bookmarkStart w:id="28" w:name="_Toc213396946"/>
      <w:bookmarkStart w:id="29" w:name="_Toc213397010"/>
      <w:bookmarkStart w:id="30" w:name="_Toc28824"/>
      <w:bookmarkStart w:id="31" w:name="_Toc213396760"/>
      <w:bookmarkStart w:id="32" w:name="_Toc31215"/>
      <w:bookmarkStart w:id="33" w:name="_Toc327196261"/>
      <w:bookmarkStart w:id="34" w:name="_Toc217446032"/>
      <w:bookmarkStart w:id="35" w:name="_Toc6734"/>
      <w:bookmarkStart w:id="36" w:name="_Toc27864"/>
      <w:r>
        <w:rPr>
          <w:rFonts w:hint="eastAsia"/>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2"/>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62"/>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70"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bookmarkStart w:id="37" w:name="_Toc327196262"/>
            <w:r>
              <w:rPr>
                <w:rFonts w:hint="eastAsia" w:cs="宋体"/>
                <w:b/>
                <w:bCs/>
                <w:sz w:val="21"/>
                <w:szCs w:val="21"/>
                <w:highlight w:val="none"/>
                <w:lang w:val="zh-CN"/>
              </w:rPr>
              <w:t>序号</w:t>
            </w: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r>
              <w:rPr>
                <w:rFonts w:hint="eastAsia" w:cs="宋体"/>
                <w:b/>
                <w:bCs/>
                <w:sz w:val="21"/>
                <w:szCs w:val="21"/>
                <w:highlight w:val="none"/>
              </w:rPr>
              <w:t>条款名称</w:t>
            </w:r>
            <w:r>
              <w:rPr>
                <w:rFonts w:hint="eastAsia" w:cs="宋体"/>
                <w:b/>
                <w:bCs/>
                <w:sz w:val="21"/>
                <w:szCs w:val="21"/>
                <w:highlight w:val="none"/>
                <w:lang w:val="zh-CN"/>
              </w:rPr>
              <w:t xml:space="preserve"> </w:t>
            </w:r>
          </w:p>
        </w:tc>
        <w:tc>
          <w:tcPr>
            <w:tcW w:w="7218"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r>
              <w:rPr>
                <w:rFonts w:hint="eastAsia" w:cs="宋体"/>
                <w:b/>
                <w:bCs/>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采购预算</w:t>
            </w:r>
            <w:r>
              <w:rPr>
                <w:rFonts w:hint="eastAsia" w:cs="宋体"/>
                <w:sz w:val="21"/>
                <w:szCs w:val="21"/>
                <w:highlight w:val="none"/>
                <w:lang w:val="en-US" w:eastAsia="zh-CN"/>
              </w:rPr>
              <w:t>、最高限价</w:t>
            </w:r>
            <w:r>
              <w:rPr>
                <w:rFonts w:hint="eastAsia" w:cs="宋体"/>
                <w:sz w:val="21"/>
                <w:szCs w:val="21"/>
                <w:highlight w:val="none"/>
              </w:rPr>
              <w:t>及报价要求</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lang w:val="zh-CN"/>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1.</w:t>
            </w:r>
            <w:r>
              <w:rPr>
                <w:rFonts w:hint="eastAsia" w:cs="宋体"/>
                <w:sz w:val="21"/>
                <w:szCs w:val="21"/>
                <w:highlight w:val="none"/>
                <w:lang w:val="zh-CN"/>
              </w:rPr>
              <w:t>本项目</w:t>
            </w:r>
            <w:r>
              <w:rPr>
                <w:rFonts w:hint="eastAsia" w:cs="宋体"/>
                <w:sz w:val="21"/>
                <w:szCs w:val="21"/>
                <w:highlight w:val="none"/>
              </w:rPr>
              <w:t>采购</w:t>
            </w:r>
            <w:r>
              <w:rPr>
                <w:rFonts w:hint="eastAsia" w:cs="宋体"/>
                <w:sz w:val="21"/>
                <w:szCs w:val="21"/>
                <w:highlight w:val="none"/>
                <w:lang w:val="zh-CN"/>
              </w:rPr>
              <w:t>预算、</w:t>
            </w:r>
            <w:r>
              <w:rPr>
                <w:rFonts w:hint="eastAsia" w:cs="宋体"/>
                <w:sz w:val="21"/>
                <w:szCs w:val="21"/>
                <w:highlight w:val="none"/>
                <w:lang w:val="en-US" w:eastAsia="zh-CN"/>
              </w:rPr>
              <w:t>最高限价</w:t>
            </w:r>
            <w:r>
              <w:rPr>
                <w:rFonts w:hint="eastAsia" w:cs="宋体"/>
                <w:sz w:val="21"/>
                <w:szCs w:val="21"/>
                <w:highlight w:val="none"/>
                <w:lang w:val="zh-CN"/>
              </w:rPr>
              <w:t>为人民币</w:t>
            </w:r>
            <w:r>
              <w:rPr>
                <w:rFonts w:hint="eastAsia" w:cs="宋体"/>
                <w:sz w:val="21"/>
                <w:szCs w:val="21"/>
                <w:highlight w:val="none"/>
              </w:rPr>
              <w:t>140</w:t>
            </w:r>
            <w:r>
              <w:rPr>
                <w:rFonts w:hint="eastAsia" w:cs="宋体"/>
                <w:sz w:val="21"/>
                <w:szCs w:val="21"/>
                <w:highlight w:val="none"/>
                <w:lang w:val="zh-CN"/>
              </w:rPr>
              <w:t>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w:t>
            </w:r>
            <w:r>
              <w:rPr>
                <w:rFonts w:hint="eastAsia" w:cs="宋体"/>
                <w:sz w:val="21"/>
                <w:szCs w:val="21"/>
                <w:highlight w:val="none"/>
                <w:lang w:val="zh-CN"/>
              </w:rPr>
              <w:t>本项目</w:t>
            </w:r>
            <w:r>
              <w:rPr>
                <w:rFonts w:hint="eastAsia" w:cs="宋体"/>
                <w:sz w:val="21"/>
                <w:szCs w:val="21"/>
                <w:highlight w:val="none"/>
              </w:rPr>
              <w:t>投标报价</w:t>
            </w:r>
            <w:r>
              <w:rPr>
                <w:rFonts w:hint="eastAsia" w:cs="宋体"/>
                <w:sz w:val="21"/>
                <w:szCs w:val="21"/>
                <w:highlight w:val="none"/>
                <w:lang w:val="zh-CN"/>
              </w:rPr>
              <w:t>不</w:t>
            </w:r>
            <w:r>
              <w:rPr>
                <w:rFonts w:hint="eastAsia" w:cs="宋体"/>
                <w:sz w:val="21"/>
                <w:szCs w:val="21"/>
                <w:highlight w:val="none"/>
              </w:rPr>
              <w:t>得</w:t>
            </w:r>
            <w:r>
              <w:rPr>
                <w:rFonts w:hint="eastAsia" w:cs="宋体"/>
                <w:sz w:val="21"/>
                <w:szCs w:val="21"/>
                <w:highlight w:val="none"/>
                <w:lang w:val="zh-CN"/>
              </w:rPr>
              <w:t>超过采购预算</w:t>
            </w:r>
            <w:r>
              <w:rPr>
                <w:rFonts w:hint="eastAsia" w:cs="宋体"/>
                <w:sz w:val="21"/>
                <w:szCs w:val="21"/>
                <w:highlight w:val="none"/>
              </w:rPr>
              <w:t>及最高限价</w:t>
            </w:r>
            <w:r>
              <w:rPr>
                <w:rFonts w:hint="eastAsia" w:cs="宋体"/>
                <w:sz w:val="21"/>
                <w:szCs w:val="21"/>
                <w:highlight w:val="none"/>
                <w:lang w:val="zh-CN"/>
              </w:rPr>
              <w:t>，</w:t>
            </w:r>
            <w:r>
              <w:rPr>
                <w:rFonts w:hint="eastAsia" w:cs="宋体"/>
                <w:sz w:val="21"/>
                <w:szCs w:val="21"/>
                <w:highlight w:val="none"/>
              </w:rPr>
              <w:t>否则将被视为无</w:t>
            </w:r>
            <w:bookmarkStart w:id="1232" w:name="_GoBack"/>
            <w:bookmarkEnd w:id="1232"/>
            <w:r>
              <w:rPr>
                <w:rFonts w:hint="eastAsia" w:cs="宋体"/>
                <w:sz w:val="21"/>
                <w:szCs w:val="21"/>
                <w:highlight w:val="none"/>
              </w:rPr>
              <w:t>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项目属性</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本项目属于货物类采购项目，不对其中涉及的服务的承接商是否享受中小企业扶持政策作出要求。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本项目所属行业</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本项目所属行业详见招标文件第六章。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定向采购</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lang w:val="zh-CN"/>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本项目不为</w:t>
            </w:r>
            <w:r>
              <w:rPr>
                <w:rFonts w:hint="eastAsia" w:cs="宋体"/>
                <w:sz w:val="21"/>
                <w:szCs w:val="21"/>
                <w:highlight w:val="none"/>
                <w:lang w:val="zh-CN"/>
              </w:rPr>
              <w:t>专门面向中小</w:t>
            </w:r>
            <w:r>
              <w:rPr>
                <w:rFonts w:hint="eastAsia" w:cs="宋体"/>
                <w:sz w:val="21"/>
                <w:szCs w:val="21"/>
                <w:highlight w:val="none"/>
              </w:rPr>
              <w:t>微</w:t>
            </w:r>
            <w:r>
              <w:rPr>
                <w:rFonts w:hint="eastAsia" w:cs="宋体"/>
                <w:sz w:val="21"/>
                <w:szCs w:val="21"/>
                <w:highlight w:val="none"/>
                <w:lang w:val="zh-CN"/>
              </w:rPr>
              <w:t>企业</w:t>
            </w:r>
            <w:r>
              <w:rPr>
                <w:rFonts w:hint="eastAsia" w:cs="宋体"/>
                <w:sz w:val="21"/>
                <w:szCs w:val="21"/>
                <w:highlight w:val="none"/>
              </w:rPr>
              <w:t>采购</w:t>
            </w:r>
            <w:r>
              <w:rPr>
                <w:rFonts w:hint="eastAsia" w:cs="宋体"/>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lang w:val="zh-CN"/>
              </w:rPr>
            </w:pPr>
            <w:r>
              <w:rPr>
                <w:rFonts w:hint="eastAsia"/>
                <w:sz w:val="21"/>
                <w:szCs w:val="21"/>
                <w:highlight w:val="none"/>
                <w:lang w:val="zh-CN"/>
              </w:rPr>
              <w:t>竞争范围</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cs="宋体"/>
                <w:sz w:val="21"/>
                <w:szCs w:val="21"/>
                <w:highlight w:val="none"/>
              </w:rPr>
              <w:t>公开竞争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lang w:val="zh-CN"/>
              </w:rPr>
            </w:pPr>
            <w:r>
              <w:rPr>
                <w:rFonts w:hint="eastAsia"/>
                <w:sz w:val="21"/>
                <w:szCs w:val="21"/>
                <w:highlight w:val="none"/>
              </w:rPr>
              <w:t>是否允许进口产品投标</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本项目不允许进口产品投标，</w:t>
            </w:r>
            <w:r>
              <w:rPr>
                <w:rFonts w:hint="eastAsia"/>
                <w:sz w:val="21"/>
                <w:szCs w:val="21"/>
                <w:highlight w:val="none"/>
                <w:lang w:val="zh-CN"/>
              </w:rPr>
              <w:t>根据《中华人民共和国政府采购法》第十条的规定，本项目采购本国</w:t>
            </w:r>
            <w:r>
              <w:rPr>
                <w:rFonts w:hint="eastAsia"/>
                <w:sz w:val="21"/>
                <w:szCs w:val="21"/>
                <w:highlight w:val="none"/>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采购方式</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评标方法</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合同</w:t>
            </w:r>
            <w:r>
              <w:rPr>
                <w:rFonts w:hint="eastAsia" w:cs="宋体"/>
                <w:sz w:val="21"/>
                <w:szCs w:val="21"/>
                <w:highlight w:val="none"/>
              </w:rPr>
              <w:t>定价方式</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lang w:val="zh-CN"/>
              </w:rPr>
            </w:pPr>
            <w:r>
              <w:rPr>
                <w:rFonts w:hint="eastAsia"/>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color w:val="FF0000"/>
                <w:sz w:val="21"/>
                <w:szCs w:val="21"/>
                <w:highlight w:val="none"/>
                <w:lang w:val="zh-CN"/>
              </w:rPr>
            </w:pPr>
            <w:r>
              <w:rPr>
                <w:rFonts w:hint="eastAsia" w:cs="宋体"/>
                <w:sz w:val="21"/>
                <w:szCs w:val="21"/>
                <w:highlight w:val="none"/>
              </w:rPr>
              <w:t>固定总价合同。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合同分包</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联合体投标</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投标有效期</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备选投标方案和报价</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质量要求、履约验收</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现场考察、标前</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答疑会</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投标保证金</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lang w:val="zh-CN"/>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低于成本价不正当竞争预防措施</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hint="eastAsia" w:eastAsia="宋体" w:cs="宋体"/>
                <w:sz w:val="21"/>
                <w:szCs w:val="21"/>
                <w:highlight w:val="none"/>
                <w:lang w:val="en-US" w:eastAsia="zh-CN"/>
              </w:rPr>
            </w:pPr>
            <w:r>
              <w:rPr>
                <w:rFonts w:hint="eastAsia" w:cs="宋体"/>
                <w:sz w:val="21"/>
                <w:szCs w:val="21"/>
                <w:highlight w:val="none"/>
              </w:rPr>
              <w:t>小微企业、监狱企业、残疾人福利性单位价格扣除、</w:t>
            </w:r>
            <w:r>
              <w:rPr>
                <w:rFonts w:hint="eastAsia" w:cs="宋体"/>
                <w:sz w:val="21"/>
                <w:szCs w:val="21"/>
                <w:highlight w:val="none"/>
                <w:lang w:val="en-US" w:eastAsia="zh-CN"/>
              </w:rPr>
              <w:t>扶持</w:t>
            </w:r>
            <w:r>
              <w:rPr>
                <w:rFonts w:hint="eastAsia" w:cs="宋体"/>
                <w:sz w:val="21"/>
                <w:szCs w:val="21"/>
                <w:highlight w:val="none"/>
              </w:rPr>
              <w:t>少数民族地区</w:t>
            </w:r>
            <w:r>
              <w:rPr>
                <w:rFonts w:hint="eastAsia" w:cs="宋体"/>
                <w:sz w:val="21"/>
                <w:szCs w:val="21"/>
                <w:highlight w:val="none"/>
                <w:lang w:val="en-US" w:eastAsia="zh-CN"/>
              </w:rPr>
              <w:t>政采</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一、政府采购促进中小企业发展政策</w:t>
            </w:r>
          </w:p>
          <w:p>
            <w:pPr>
              <w:pStyle w:val="49"/>
              <w:keepNext w:val="0"/>
              <w:keepLines w:val="0"/>
              <w:pageBreakBefore w:val="0"/>
              <w:widowControl w:val="0"/>
              <w:numPr>
                <w:ilvl w:val="255"/>
                <w:numId w:val="0"/>
              </w:numPr>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定义：</w:t>
            </w:r>
            <w:r>
              <w:rPr>
                <w:rFonts w:hint="eastAsia" w:cs="宋体"/>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9"/>
              <w:keepNext w:val="0"/>
              <w:keepLines w:val="0"/>
              <w:pageBreakBefore w:val="0"/>
              <w:widowControl w:val="0"/>
              <w:numPr>
                <w:ilvl w:val="255"/>
                <w:numId w:val="0"/>
              </w:numPr>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适用情形：</w:t>
            </w:r>
            <w:r>
              <w:rPr>
                <w:rFonts w:hint="eastAsia" w:cs="宋体"/>
                <w:sz w:val="21"/>
                <w:szCs w:val="21"/>
                <w:highlight w:val="none"/>
              </w:rPr>
              <w:t>(1)在货物采购项目中，货物由中小企业制造，即货物由中小企业生产且使用该中小企业商号或者注册商标；</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(2)在货物采购项目中，供应商提供的货物既有中小企业制造货物，也有大型企业制造货物的，不享受本办法规定的中小企业扶持政策。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注：关于中小微型企业划分标准详见附件。</w:t>
            </w:r>
          </w:p>
          <w:p>
            <w:pPr>
              <w:pStyle w:val="49"/>
              <w:keepNext w:val="0"/>
              <w:keepLines w:val="0"/>
              <w:pageBreakBefore w:val="0"/>
              <w:widowControl w:val="0"/>
              <w:numPr>
                <w:ilvl w:val="255"/>
                <w:numId w:val="0"/>
              </w:numPr>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执行方式：</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pacing w:val="-8"/>
                <w:sz w:val="21"/>
                <w:szCs w:val="21"/>
                <w:highlight w:val="none"/>
              </w:rPr>
            </w:pPr>
            <w:r>
              <w:rPr>
                <w:rFonts w:hint="eastAsia" w:cs="宋体"/>
                <w:sz w:val="21"/>
                <w:szCs w:val="21"/>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rFonts w:hint="eastAsia" w:cs="宋体"/>
                <w:spacing w:val="8"/>
                <w:sz w:val="21"/>
                <w:szCs w:val="21"/>
                <w:highlight w:val="none"/>
              </w:rPr>
              <w:t>经主管预算单位统筹后未预留份额专门</w:t>
            </w:r>
            <w:r>
              <w:rPr>
                <w:rFonts w:hint="eastAsia" w:cs="宋体"/>
                <w:sz w:val="21"/>
                <w:szCs w:val="21"/>
                <w:highlight w:val="none"/>
              </w:rPr>
              <w:t>面向中小企业采购的采购项目，以及</w:t>
            </w:r>
            <w:r>
              <w:rPr>
                <w:rFonts w:hint="eastAsia" w:cs="宋体"/>
                <w:spacing w:val="-8"/>
                <w:sz w:val="21"/>
                <w:szCs w:val="21"/>
                <w:highlight w:val="none"/>
              </w:rPr>
              <w:t>预留份额项目中的非预留部分采购包)。</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pacing w:val="-8"/>
                <w:sz w:val="21"/>
                <w:szCs w:val="21"/>
                <w:highlight w:val="none"/>
              </w:rPr>
            </w:pPr>
            <w:r>
              <w:rPr>
                <w:rFonts w:hint="eastAsia" w:cs="宋体"/>
                <w:spacing w:val="-8"/>
                <w:sz w:val="21"/>
                <w:szCs w:val="21"/>
                <w:highlight w:val="none"/>
              </w:rPr>
              <w:t>(2)中小企业参加政府采购活动，应当出具《中小企业声明函》(格式详见招标文件)，否则不得享受相关中小企业扶持政策。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pacing w:val="-8"/>
                <w:sz w:val="21"/>
                <w:szCs w:val="21"/>
                <w:highlight w:val="none"/>
              </w:rPr>
            </w:pPr>
            <w:r>
              <w:rPr>
                <w:rFonts w:hint="eastAsia" w:cs="宋体"/>
                <w:spacing w:val="-8"/>
                <w:sz w:val="21"/>
                <w:szCs w:val="21"/>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二、监狱企业价格扣除</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2.本项目对监狱企业参与投标的价格给予10%的扣除，用扣除后的价格参与评审。</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3.监狱企业参加政府采购活动时，应当提供由省级以上监狱管理局、戒毒管理局(含新疆生产建设兵团)出具的属于监狱企业的证明文件。</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4.监狱企业属于小型、微型企业的，不重复享受政策。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三、残疾人福利性单位价格扣除</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2.本项目对残疾人福利性单位参与投标的价格给予10%的扣除，用扣除后的价格参与评审。</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3.残疾人福利性单位参加政府采购活动时，应当提供本通知规定的《残疾人福利性单位声明函》。</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4.供应商提供的《残疾人福利性单位声明函》与事实不符的，依照《政府采购法》第七十七条第一款的规定追究法律责任。</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5.残疾人福利性单位属于小型、微型企业的，不重复享受政策。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b/>
                <w:bCs/>
                <w:sz w:val="21"/>
                <w:szCs w:val="21"/>
                <w:highlight w:val="none"/>
              </w:rPr>
            </w:pPr>
            <w:r>
              <w:rPr>
                <w:rFonts w:hint="eastAsia" w:cs="宋体"/>
                <w:sz w:val="21"/>
                <w:szCs w:val="21"/>
                <w:highlight w:val="none"/>
              </w:rPr>
              <w:t>四、扶持少数民族地区 </w:t>
            </w:r>
            <w:r>
              <w:rPr>
                <w:rFonts w:hint="eastAsia" w:cs="宋体"/>
                <w:sz w:val="21"/>
                <w:szCs w:val="21"/>
                <w:highlight w:val="none"/>
              </w:rPr>
              <w:br w:type="textWrapping"/>
            </w:r>
            <w:r>
              <w:rPr>
                <w:rFonts w:hint="eastAsia" w:asciiTheme="minorEastAsia" w:hAnsiTheme="minorEastAsia" w:eastAsiaTheme="minorEastAsia" w:cstheme="minorEastAsia"/>
                <w:sz w:val="21"/>
                <w:szCs w:val="21"/>
                <w:highlight w:val="none"/>
              </w:rPr>
              <w:t>投标人注册地在民族自治区、自治州、自治县(含享受少数民族待遇的区县)、民族乡的</w:t>
            </w:r>
            <w:r>
              <w:rPr>
                <w:rFonts w:hint="eastAsia" w:cs="宋体"/>
                <w:sz w:val="21"/>
                <w:szCs w:val="21"/>
                <w:highlight w:val="none"/>
              </w:rPr>
              <w:t>，在评审得分相同且投标报价相同的情况下将被优选推荐为中标候选人供应商。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注：专门面向中小企业采购的项目或者采购包，不再执行价格评审优惠的扶持政策。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建议品牌或者供应商</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(如涉及)</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节能产品、环境标志产品、无线局域网产品采购政策</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b/>
                <w:bCs/>
                <w:sz w:val="21"/>
                <w:szCs w:val="21"/>
                <w:highlight w:val="none"/>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1.节能、环保产品政府采购政策：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本项目采购的产品属于品目清单强制采购范围(节能产品政府采购品目清单中带“★”号产品)的，供应商应按上述要求提供产品认证证书复印件并加盖供应商单位公章，否则投标无效(实质性要求)。</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本项目采购的产品属于品目清单优先采购范围的，按照第七章《综合评分明细表》的规则进行加分。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sz w:val="21"/>
                <w:szCs w:val="21"/>
                <w:highlight w:val="none"/>
              </w:rPr>
            </w:pPr>
            <w:r>
              <w:rPr>
                <w:rFonts w:hint="eastAsia"/>
                <w:sz w:val="21"/>
                <w:szCs w:val="21"/>
                <w:highlight w:val="none"/>
              </w:rPr>
              <w:t>2.无线局域网产品政府采购政策：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其他强制性规定</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(如涉及时作为实质性要求)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sz w:val="21"/>
                <w:szCs w:val="21"/>
                <w:highlight w:val="none"/>
              </w:rPr>
              <w:t>国家或行业主管部门对采购产品的技术标准、质量标准和资格资质条件等有强制性规定的，必须符合其要求。如涉及3C认证产品的3C认证证书</w:t>
            </w:r>
            <w:r>
              <w:rPr>
                <w:rFonts w:hint="eastAsia"/>
                <w:color w:val="FF0000"/>
                <w:sz w:val="21"/>
                <w:szCs w:val="21"/>
                <w:highlight w:val="none"/>
              </w:rPr>
              <w:t>或其他强制规定的要求</w:t>
            </w:r>
            <w:r>
              <w:rPr>
                <w:rFonts w:hint="eastAsia"/>
                <w:sz w:val="21"/>
                <w:szCs w:val="21"/>
                <w:highlight w:val="none"/>
              </w:rPr>
              <w:t>在投标文件中可不提供(招标文件有要求在投标时提供证明材料的除外)，供应商中标后应在签订采购合同时向采购人提供加盖投标人公章的3C证书</w:t>
            </w:r>
            <w:r>
              <w:rPr>
                <w:rFonts w:hint="eastAsia"/>
                <w:color w:val="FF0000"/>
                <w:sz w:val="21"/>
                <w:szCs w:val="21"/>
                <w:highlight w:val="none"/>
              </w:rPr>
              <w:t>等</w:t>
            </w:r>
            <w:r>
              <w:rPr>
                <w:rFonts w:hint="eastAsia"/>
                <w:sz w:val="21"/>
                <w:szCs w:val="21"/>
                <w:highlight w:val="none"/>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评</w:t>
            </w:r>
            <w:r>
              <w:rPr>
                <w:rFonts w:hint="eastAsia" w:cs="宋体"/>
                <w:sz w:val="21"/>
                <w:szCs w:val="21"/>
                <w:highlight w:val="none"/>
              </w:rPr>
              <w:t>审</w:t>
            </w:r>
            <w:r>
              <w:rPr>
                <w:rFonts w:hint="eastAsia" w:cs="宋体"/>
                <w:sz w:val="21"/>
                <w:szCs w:val="21"/>
                <w:highlight w:val="none"/>
                <w:lang w:val="zh-CN"/>
              </w:rPr>
              <w:t>情况的公告</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2.</w:t>
            </w:r>
            <w:r>
              <w:rPr>
                <w:rFonts w:hint="eastAsia" w:cs="宋体"/>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77"/>
              <w:keepNext w:val="0"/>
              <w:keepLines w:val="0"/>
              <w:pageBreakBefore w:val="0"/>
              <w:widowControl w:val="0"/>
              <w:kinsoku/>
              <w:wordWrap w:val="0"/>
              <w:overflowPunct/>
              <w:bidi w:val="0"/>
              <w:adjustRightInd w:val="0"/>
              <w:spacing w:after="0" w:line="320" w:lineRule="exact"/>
              <w:ind w:left="28" w:leftChars="0" w:right="12" w:rightChars="5"/>
              <w:jc w:val="center"/>
              <w:textAlignment w:val="auto"/>
              <w:rPr>
                <w:sz w:val="21"/>
                <w:szCs w:val="21"/>
                <w:highlight w:val="none"/>
                <w:lang w:val="zh-CN"/>
              </w:rPr>
            </w:pPr>
            <w:r>
              <w:rPr>
                <w:rFonts w:hint="eastAsia"/>
                <w:snapToGrid w:val="0"/>
                <w:kern w:val="2"/>
                <w:sz w:val="21"/>
                <w:szCs w:val="21"/>
                <w:highlight w:val="none"/>
                <w:lang w:val="zh-CN"/>
              </w:rPr>
              <w:t>中标通知书领取</w:t>
            </w:r>
          </w:p>
        </w:tc>
        <w:tc>
          <w:tcPr>
            <w:tcW w:w="7218" w:type="dxa"/>
            <w:vAlign w:val="center"/>
          </w:tcPr>
          <w:p>
            <w:pPr>
              <w:pStyle w:val="77"/>
              <w:keepNext w:val="0"/>
              <w:keepLines w:val="0"/>
              <w:pageBreakBefore w:val="0"/>
              <w:widowControl w:val="0"/>
              <w:kinsoku/>
              <w:wordWrap w:val="0"/>
              <w:overflowPunct/>
              <w:bidi w:val="0"/>
              <w:adjustRightInd w:val="0"/>
              <w:spacing w:after="0" w:line="320" w:lineRule="exact"/>
              <w:ind w:left="28" w:leftChars="0" w:right="12" w:rightChars="5"/>
              <w:textAlignment w:val="auto"/>
              <w:rPr>
                <w:sz w:val="21"/>
                <w:szCs w:val="21"/>
                <w:highlight w:val="none"/>
              </w:rPr>
            </w:pPr>
            <w:r>
              <w:rPr>
                <w:rFonts w:hint="eastAsia"/>
                <w:snapToGrid w:val="0"/>
                <w:kern w:val="2"/>
                <w:sz w:val="21"/>
                <w:szCs w:val="21"/>
                <w:highlight w:val="none"/>
                <w:lang w:val="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招标</w:t>
            </w:r>
            <w:r>
              <w:rPr>
                <w:rFonts w:hint="eastAsia" w:cs="宋体"/>
                <w:sz w:val="21"/>
                <w:szCs w:val="21"/>
                <w:highlight w:val="none"/>
                <w:lang w:val="zh-CN"/>
              </w:rPr>
              <w:t>代理</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服务费</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1.收取标准：招标代理服务费以成本加合理利润为原则，以实际中标金额为计费基数，按照下列收费标准计算出收费基准价格后下浮20%收取。</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2</w:t>
            </w:r>
            <w:r>
              <w:rPr>
                <w:rFonts w:hint="eastAsia" w:cs="宋体"/>
                <w:sz w:val="21"/>
                <w:szCs w:val="21"/>
                <w:highlight w:val="none"/>
                <w:lang w:val="zh-CN"/>
              </w:rPr>
              <w:t>.代理服务费率标准和代理服务费计算方法</w:t>
            </w:r>
          </w:p>
          <w:tbl>
            <w:tblPr>
              <w:tblStyle w:val="22"/>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rPr>
                    <w:t>中标</w:t>
                  </w:r>
                  <w:r>
                    <w:rPr>
                      <w:rFonts w:hint="eastAsia" w:cs="宋体"/>
                      <w:sz w:val="21"/>
                      <w:szCs w:val="21"/>
                      <w:highlight w:val="none"/>
                      <w:lang w:val="zh-CN"/>
                    </w:rPr>
                    <w:t>金额(万元)</w:t>
                  </w:r>
                </w:p>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类型</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货物类</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服务类</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100以下</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100－500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0.8%</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500－1000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0.8%</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0.45%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1000－5000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0.25%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5000－10000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0.25%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10000－100000</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0.05%</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1000000以上</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0.01%</w:t>
                  </w:r>
                </w:p>
              </w:tc>
              <w:tc>
                <w:tcPr>
                  <w:tcW w:w="1180"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jc w:val="center"/>
                    <w:textAlignment w:val="auto"/>
                    <w:rPr>
                      <w:rFonts w:cs="宋体"/>
                      <w:sz w:val="21"/>
                      <w:szCs w:val="21"/>
                      <w:highlight w:val="none"/>
                      <w:lang w:val="zh-CN"/>
                    </w:rPr>
                  </w:pPr>
                  <w:r>
                    <w:rPr>
                      <w:rFonts w:hint="eastAsia" w:cs="宋体"/>
                      <w:sz w:val="21"/>
                      <w:szCs w:val="21"/>
                      <w:highlight w:val="none"/>
                      <w:lang w:val="zh-CN"/>
                    </w:rPr>
                    <w:t>0.01%</w:t>
                  </w:r>
                </w:p>
              </w:tc>
            </w:tr>
          </w:tbl>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注：</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(1)按本表费率计算的收费为代理服务全过程的收费基准价格。</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(2)采购代理机构下浮比例为20%。</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(3)代理服务收费按差额定率累进法计算。</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例如：某工程代理业务中标金额为6000万元，计算代理服务收费额如下：</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100万元×1.00%=1万元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(500－100)万元×0.70%=2.8万元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(1000－500)万元×0.55%=2.75万元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(5000－1000)万元×0.35%=14万元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(6000－5000)万元×0.20%=2万元</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最终代理服务=(1+2.8+2.75+14+2)*(1－20%)=18.04(万元)</w:t>
            </w:r>
          </w:p>
          <w:p>
            <w:pPr>
              <w:pStyle w:val="49"/>
              <w:keepNext w:val="0"/>
              <w:keepLines w:val="0"/>
              <w:pageBreakBefore w:val="0"/>
              <w:widowControl w:val="0"/>
              <w:numPr>
                <w:ilvl w:val="0"/>
                <w:numId w:val="10"/>
              </w:numPr>
              <w:tabs>
                <w:tab w:val="clear" w:pos="312"/>
              </w:tabs>
              <w:kinsoku/>
              <w:wordWrap w:val="0"/>
              <w:overflowPunct/>
              <w:bidi w:val="0"/>
              <w:adjustRightInd w:val="0"/>
              <w:spacing w:line="320" w:lineRule="exact"/>
              <w:ind w:left="28" w:leftChars="0" w:right="12" w:rightChars="5"/>
              <w:jc w:val="both"/>
              <w:textAlignment w:val="auto"/>
              <w:rPr>
                <w:rFonts w:cs="宋体"/>
                <w:sz w:val="21"/>
                <w:szCs w:val="21"/>
                <w:highlight w:val="none"/>
              </w:rPr>
            </w:pPr>
            <w:r>
              <w:rPr>
                <w:rFonts w:hint="eastAsia" w:cs="宋体"/>
                <w:sz w:val="21"/>
                <w:szCs w:val="21"/>
                <w:highlight w:val="none"/>
              </w:rPr>
              <w:t>收取方式：中标</w:t>
            </w:r>
            <w:r>
              <w:rPr>
                <w:rFonts w:hint="eastAsia" w:cs="宋体"/>
                <w:sz w:val="21"/>
                <w:szCs w:val="21"/>
                <w:highlight w:val="none"/>
                <w:lang w:val="zh-CN"/>
              </w:rPr>
              <w:t>通知发出后二个工作日内由</w:t>
            </w:r>
            <w:r>
              <w:rPr>
                <w:rFonts w:hint="eastAsia" w:cs="宋体"/>
                <w:sz w:val="21"/>
                <w:szCs w:val="21"/>
                <w:highlight w:val="none"/>
              </w:rPr>
              <w:t>中标供应商</w:t>
            </w:r>
            <w:r>
              <w:rPr>
                <w:rFonts w:hint="eastAsia" w:cs="宋体"/>
                <w:sz w:val="21"/>
                <w:szCs w:val="21"/>
                <w:highlight w:val="none"/>
                <w:lang w:val="zh-CN"/>
              </w:rPr>
              <w:t>一次性支付</w:t>
            </w:r>
            <w:r>
              <w:rPr>
                <w:rFonts w:hint="eastAsia" w:cs="宋体"/>
                <w:sz w:val="21"/>
                <w:szCs w:val="21"/>
                <w:highlight w:val="none"/>
              </w:rPr>
              <w:t>至采购代理机构。</w:t>
            </w:r>
          </w:p>
          <w:p>
            <w:pPr>
              <w:pStyle w:val="49"/>
              <w:keepNext w:val="0"/>
              <w:keepLines w:val="0"/>
              <w:pageBreakBefore w:val="0"/>
              <w:widowControl w:val="0"/>
              <w:numPr>
                <w:ilvl w:val="0"/>
                <w:numId w:val="11"/>
              </w:numPr>
              <w:tabs>
                <w:tab w:val="clear" w:pos="312"/>
              </w:tabs>
              <w:kinsoku/>
              <w:wordWrap w:val="0"/>
              <w:overflowPunct/>
              <w:bidi w:val="0"/>
              <w:adjustRightInd w:val="0"/>
              <w:spacing w:line="320" w:lineRule="exact"/>
              <w:ind w:left="28" w:leftChars="0" w:right="12" w:rightChars="5"/>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账号信息</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color w:val="000000" w:themeColor="text1"/>
                <w:sz w:val="21"/>
                <w:szCs w:val="21"/>
                <w:highlight w:val="none"/>
                <w14:textFill>
                  <w14:solidFill>
                    <w14:schemeClr w14:val="tx1"/>
                  </w14:solidFill>
                </w14:textFill>
              </w:rPr>
            </w:pPr>
            <w:r>
              <w:rPr>
                <w:rFonts w:cs="宋体"/>
                <w:color w:val="000000" w:themeColor="text1"/>
                <w:sz w:val="21"/>
                <w:szCs w:val="21"/>
                <w:highlight w:val="none"/>
                <w14:textFill>
                  <w14:solidFill>
                    <w14:schemeClr w14:val="tx1"/>
                  </w14:solidFill>
                </w14:textFill>
              </w:rPr>
              <w:t>收款单位：四川乾新招投标代理有限公司</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color w:val="000000" w:themeColor="text1"/>
                <w:sz w:val="21"/>
                <w:szCs w:val="21"/>
                <w:highlight w:val="none"/>
                <w14:textFill>
                  <w14:solidFill>
                    <w14:schemeClr w14:val="tx1"/>
                  </w14:solidFill>
                </w14:textFill>
              </w:rPr>
            </w:pPr>
            <w:r>
              <w:rPr>
                <w:rFonts w:cs="宋体"/>
                <w:color w:val="000000" w:themeColor="text1"/>
                <w:sz w:val="21"/>
                <w:szCs w:val="21"/>
                <w:highlight w:val="none"/>
                <w14:textFill>
                  <w14:solidFill>
                    <w14:schemeClr w14:val="tx1"/>
                  </w14:solidFill>
                </w14:textFill>
              </w:rPr>
              <w:t>开 户 行：招商银行成都分行天府大道支行</w:t>
            </w:r>
          </w:p>
          <w:p>
            <w:pPr>
              <w:pStyle w:val="49"/>
              <w:keepNext w:val="0"/>
              <w:keepLines w:val="0"/>
              <w:pageBreakBefore w:val="0"/>
              <w:widowControl w:val="0"/>
              <w:kinsoku/>
              <w:wordWrap w:val="0"/>
              <w:overflowPunct/>
              <w:bidi w:val="0"/>
              <w:adjustRightInd w:val="0"/>
              <w:spacing w:line="320" w:lineRule="exact"/>
              <w:ind w:left="28" w:leftChars="0" w:right="12" w:rightChars="5"/>
              <w:jc w:val="both"/>
              <w:textAlignment w:val="auto"/>
              <w:rPr>
                <w:rFonts w:cs="宋体"/>
                <w:sz w:val="21"/>
                <w:szCs w:val="21"/>
                <w:highlight w:val="none"/>
              </w:rPr>
            </w:pPr>
            <w:r>
              <w:rPr>
                <w:rFonts w:cs="宋体"/>
                <w:color w:val="000000" w:themeColor="text1"/>
                <w:sz w:val="21"/>
                <w:szCs w:val="21"/>
                <w:highlight w:val="none"/>
                <w14:textFill>
                  <w14:solidFill>
                    <w14:schemeClr w14:val="tx1"/>
                  </w14:solidFill>
                </w14:textFill>
              </w:rPr>
              <w:t>银行账号：1289 0768 1810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履约保证金</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b/>
                <w:bCs/>
                <w:sz w:val="21"/>
                <w:szCs w:val="21"/>
                <w:highlight w:val="none"/>
                <w:lang w:val="zh-CN"/>
              </w:rPr>
              <w:t>(实质性要求)</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政府采购供应商信用融资</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3.“政采贷”政策咨询电话：</w:t>
            </w:r>
            <w:r>
              <w:rPr>
                <w:rFonts w:hint="eastAsia" w:cs="宋体"/>
                <w:sz w:val="21"/>
                <w:szCs w:val="21"/>
                <w:highlight w:val="none"/>
                <w:lang w:val="zh-CN"/>
              </w:rPr>
              <w:t>028-61375575转6</w:t>
            </w:r>
            <w:r>
              <w:rPr>
                <w:rFonts w:hint="eastAsia" w:cs="宋体"/>
                <w:sz w:val="21"/>
                <w:szCs w:val="21"/>
                <w:highlight w:val="none"/>
              </w:rPr>
              <w:t>08。</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政府采购合同公告</w:t>
            </w:r>
          </w:p>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备案</w:t>
            </w:r>
          </w:p>
        </w:tc>
        <w:tc>
          <w:tcPr>
            <w:tcW w:w="7218" w:type="dxa"/>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政府采购合同签订之日起2个工作日内，政府采购合同将在“四川政府采购网”公告(包含联合体协议和分包意向协议，分包意向协议公开仅限于享受了政府采购相关扶持政策的情形)；政府采购合同签订之日起七个工作日内，政府采购合同将向本采购项目同级财政部门</w:t>
            </w:r>
            <w:r>
              <w:rPr>
                <w:rFonts w:hint="eastAsia" w:cs="宋体"/>
                <w:sz w:val="21"/>
                <w:szCs w:val="21"/>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供应商询问</w:t>
            </w:r>
          </w:p>
        </w:tc>
        <w:tc>
          <w:tcPr>
            <w:tcW w:w="7218" w:type="dxa"/>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1.根据委托代理协议约定，采购人负责对采购文件技术参数部分的询问答复，四川乾新招投标代理有限公司负责采购文件技术参数部分以外的询问答复。</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2.询问内容不得涉及评审秘密、国家机密和商业秘密等保密内容。</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联系人：</w:t>
            </w:r>
            <w:r>
              <w:rPr>
                <w:rFonts w:hint="eastAsia" w:cs="宋体"/>
                <w:sz w:val="21"/>
                <w:szCs w:val="21"/>
                <w:highlight w:val="none"/>
              </w:rPr>
              <w:t>王朝钢</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联系电话：</w:t>
            </w:r>
            <w:r>
              <w:rPr>
                <w:rFonts w:hint="eastAsia" w:cs="宋体"/>
                <w:sz w:val="21"/>
                <w:szCs w:val="21"/>
                <w:highlight w:val="none"/>
              </w:rPr>
              <w:t>028-61375575、62600820、62630990转636</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地址：成都市高新区吉庆三路333号蜀都中心二期一号楼一单元401号</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邮编：610041</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供应商质疑</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cs="宋体"/>
                <w:sz w:val="21"/>
                <w:szCs w:val="21"/>
                <w:highlight w:val="none"/>
              </w:rPr>
              <w:br w:type="textWrapping"/>
            </w:r>
            <w:r>
              <w:rPr>
                <w:rFonts w:hint="eastAsia" w:cs="宋体"/>
                <w:sz w:val="21"/>
                <w:szCs w:val="21"/>
                <w:highlight w:val="none"/>
              </w:rPr>
              <w:t>2.供应商提出质疑应当坚持依法依规、诚实信用原则；不得超出采购文件、采购过程、采购结果的范围，不得进行虚假、恶意质疑，不得以质疑为手段获取不当得利、实现非法目的。</w:t>
            </w:r>
            <w:r>
              <w:rPr>
                <w:rFonts w:hint="eastAsia" w:cs="宋体"/>
                <w:sz w:val="21"/>
                <w:szCs w:val="21"/>
                <w:highlight w:val="none"/>
              </w:rPr>
              <w:br w:type="textWrapping"/>
            </w:r>
            <w:r>
              <w:rPr>
                <w:rFonts w:hint="eastAsia" w:cs="宋体"/>
                <w:sz w:val="21"/>
                <w:szCs w:val="21"/>
                <w:highlight w:val="none"/>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cs="宋体"/>
                <w:sz w:val="21"/>
                <w:szCs w:val="21"/>
                <w:highlight w:val="none"/>
              </w:rPr>
              <w:br w:type="textWrapping"/>
            </w:r>
            <w:r>
              <w:rPr>
                <w:rFonts w:hint="eastAsia" w:cs="宋体"/>
                <w:sz w:val="21"/>
                <w:szCs w:val="21"/>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联系人：滕德伟</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联系电话：028-61375575、62600820、62630990转656</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通讯地址：</w:t>
            </w:r>
            <w:r>
              <w:rPr>
                <w:rFonts w:hint="eastAsia" w:cs="宋体"/>
                <w:sz w:val="21"/>
                <w:szCs w:val="21"/>
                <w:highlight w:val="none"/>
                <w:lang w:val="zh-CN"/>
              </w:rPr>
              <w:t>成都市高新区吉庆三路333号蜀都中心二期一号楼一单元401号</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邮编：610041</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明确的请求是指：供应商对采购文件还是对采购过程还是对中标结果提出质疑；想要达到的结果，如中标无效、废标、重新组织采购、赔偿、追究法律责任等；</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rPr>
              <w:t>供应商投诉</w:t>
            </w:r>
          </w:p>
        </w:tc>
        <w:tc>
          <w:tcPr>
            <w:tcW w:w="7218" w:type="dxa"/>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投诉受理单位：成都市财政局</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联系电话：028-61882648</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 xml:space="preserve">地址：成都市锦城大道366号 </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邮编：610041</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服务质量投诉电话</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联系人：万方仪</w:t>
            </w:r>
          </w:p>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联系电话：028-61375575、62600820、62630990转603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lang w:val="zh-CN"/>
              </w:rPr>
              <w:t>声明承诺提醒</w:t>
            </w:r>
          </w:p>
        </w:tc>
        <w:tc>
          <w:tcPr>
            <w:tcW w:w="7218"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rPr>
            </w:pPr>
            <w:r>
              <w:rPr>
                <w:rFonts w:hint="eastAsia" w:cs="宋体"/>
                <w:sz w:val="21"/>
                <w:szCs w:val="21"/>
                <w:highlight w:val="none"/>
              </w:rPr>
              <w:t>投标人的投标</w:t>
            </w:r>
            <w:r>
              <w:rPr>
                <w:rFonts w:hint="eastAsia" w:cs="宋体"/>
                <w:sz w:val="21"/>
                <w:szCs w:val="21"/>
                <w:highlight w:val="none"/>
                <w:lang w:val="zh-CN"/>
              </w:rPr>
              <w:t>文件中提供的各种声明和承诺应当真实有效，无效声明和承诺、虚假声明和承诺将由</w:t>
            </w:r>
            <w:r>
              <w:rPr>
                <w:rFonts w:hint="eastAsia" w:cs="宋体"/>
                <w:sz w:val="21"/>
                <w:szCs w:val="21"/>
                <w:highlight w:val="none"/>
              </w:rPr>
              <w:t>投标人自行</w:t>
            </w:r>
            <w:r>
              <w:rPr>
                <w:rFonts w:hint="eastAsia" w:cs="宋体"/>
                <w:sz w:val="21"/>
                <w:szCs w:val="21"/>
                <w:highlight w:val="none"/>
                <w:lang w:val="zh-CN"/>
              </w:rPr>
              <w:t>承担由此带来的</w:t>
            </w:r>
            <w:r>
              <w:rPr>
                <w:rFonts w:hint="eastAsia" w:cs="宋体"/>
                <w:sz w:val="21"/>
                <w:szCs w:val="21"/>
                <w:highlight w:val="none"/>
              </w:rPr>
              <w:t>一切</w:t>
            </w:r>
            <w:r>
              <w:rPr>
                <w:rFonts w:hint="eastAsia" w:cs="宋体"/>
                <w:sz w:val="21"/>
                <w:szCs w:val="21"/>
                <w:highlight w:val="none"/>
                <w:lang w:val="zh-CN"/>
              </w:rPr>
              <w:t>不利后果，</w:t>
            </w:r>
            <w:r>
              <w:rPr>
                <w:rFonts w:hint="eastAsia" w:cs="宋体"/>
                <w:sz w:val="21"/>
                <w:szCs w:val="21"/>
                <w:highlight w:val="none"/>
              </w:rPr>
              <w:t>采购代理机构</w:t>
            </w:r>
            <w:r>
              <w:rPr>
                <w:rFonts w:hint="eastAsia" w:cs="宋体"/>
                <w:sz w:val="21"/>
                <w:szCs w:val="21"/>
                <w:highlight w:val="none"/>
                <w:lang w:val="zh-CN"/>
              </w:rPr>
              <w:t>还将报告监管部门追究</w:t>
            </w:r>
            <w:r>
              <w:rPr>
                <w:rFonts w:hint="eastAsia" w:cs="宋体"/>
                <w:sz w:val="21"/>
                <w:szCs w:val="21"/>
                <w:highlight w:val="none"/>
              </w:rPr>
              <w:t>其</w:t>
            </w:r>
            <w:r>
              <w:rPr>
                <w:rFonts w:hint="eastAsia" w:cs="宋体"/>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lang w:val="zh-CN"/>
              </w:rPr>
            </w:pPr>
            <w:r>
              <w:rPr>
                <w:rFonts w:hint="eastAsia" w:cs="宋体"/>
                <w:sz w:val="21"/>
                <w:szCs w:val="21"/>
                <w:highlight w:val="none"/>
                <w:lang w:val="zh-CN"/>
              </w:rPr>
              <w:t>温馨提示</w:t>
            </w:r>
          </w:p>
        </w:tc>
        <w:tc>
          <w:tcPr>
            <w:tcW w:w="7218"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lang w:val="zh-CN"/>
              </w:rPr>
            </w:pPr>
            <w:r>
              <w:rPr>
                <w:rFonts w:hint="eastAsia" w:cs="宋体"/>
                <w:sz w:val="21"/>
                <w:szCs w:val="21"/>
                <w:highlight w:val="none"/>
              </w:rPr>
              <w:t>1.</w:t>
            </w:r>
            <w:r>
              <w:rPr>
                <w:rFonts w:hint="eastAsia" w:cs="宋体"/>
                <w:sz w:val="21"/>
                <w:szCs w:val="21"/>
                <w:highlight w:val="none"/>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lang w:val="zh-CN"/>
              </w:rPr>
            </w:pPr>
            <w:r>
              <w:rPr>
                <w:rFonts w:hint="eastAsia" w:cs="宋体"/>
                <w:sz w:val="21"/>
                <w:szCs w:val="21"/>
                <w:highlight w:val="none"/>
              </w:rPr>
              <w:t>2.“</w:t>
            </w:r>
            <w:r>
              <w:rPr>
                <w:rFonts w:hint="eastAsia" w:cs="宋体"/>
                <w:sz w:val="21"/>
                <w:szCs w:val="21"/>
                <w:highlight w:val="none"/>
                <w:lang w:val="zh-CN"/>
              </w:rPr>
              <w:t>政府采购云平台</w:t>
            </w:r>
            <w:r>
              <w:rPr>
                <w:rFonts w:hint="eastAsia" w:cs="宋体"/>
                <w:sz w:val="21"/>
                <w:szCs w:val="21"/>
                <w:highlight w:val="none"/>
              </w:rPr>
              <w:t>”</w:t>
            </w:r>
            <w:r>
              <w:rPr>
                <w:rFonts w:hint="eastAsia" w:cs="宋体"/>
                <w:sz w:val="21"/>
                <w:szCs w:val="21"/>
                <w:highlight w:val="none"/>
                <w:lang w:val="zh-CN"/>
              </w:rPr>
              <w:t>供应商注册地址：</w:t>
            </w:r>
          </w:p>
          <w:p>
            <w:pPr>
              <w:pStyle w:val="52"/>
              <w:keepNext w:val="0"/>
              <w:keepLines w:val="0"/>
              <w:pageBreakBefore w:val="0"/>
              <w:widowControl w:val="0"/>
              <w:kinsoku/>
              <w:wordWrap w:val="0"/>
              <w:overflowPunct/>
              <w:bidi w:val="0"/>
              <w:adjustRightInd w:val="0"/>
              <w:spacing w:line="320" w:lineRule="exact"/>
              <w:ind w:left="28" w:leftChars="0" w:right="12" w:rightChars="5"/>
              <w:jc w:val="left"/>
              <w:textAlignment w:val="auto"/>
              <w:rPr>
                <w:rFonts w:cs="宋体"/>
                <w:sz w:val="21"/>
                <w:szCs w:val="21"/>
                <w:highlight w:val="none"/>
              </w:rPr>
            </w:pPr>
            <w:r>
              <w:rPr>
                <w:rFonts w:hint="eastAsia" w:cs="宋体"/>
                <w:sz w:val="21"/>
                <w:szCs w:val="21"/>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2"/>
              <w:keepNext w:val="0"/>
              <w:keepLines w:val="0"/>
              <w:pageBreakBefore w:val="0"/>
              <w:widowControl w:val="0"/>
              <w:numPr>
                <w:ilvl w:val="0"/>
                <w:numId w:val="9"/>
              </w:numPr>
              <w:kinsoku/>
              <w:wordWrap w:val="0"/>
              <w:overflowPunct/>
              <w:bidi w:val="0"/>
              <w:adjustRightInd w:val="0"/>
              <w:spacing w:line="320" w:lineRule="exact"/>
              <w:ind w:left="28" w:leftChars="0" w:right="12" w:rightChars="5"/>
              <w:textAlignment w:val="auto"/>
              <w:rPr>
                <w:rFonts w:cs="宋体"/>
                <w:sz w:val="21"/>
                <w:szCs w:val="21"/>
                <w:highlight w:val="none"/>
              </w:rPr>
            </w:pPr>
          </w:p>
        </w:tc>
        <w:tc>
          <w:tcPr>
            <w:tcW w:w="1962" w:type="dxa"/>
            <w:vAlign w:val="center"/>
          </w:tcPr>
          <w:p>
            <w:pPr>
              <w:pStyle w:val="52"/>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备注</w:t>
            </w:r>
          </w:p>
        </w:tc>
        <w:tc>
          <w:tcPr>
            <w:tcW w:w="7218" w:type="dxa"/>
            <w:vAlign w:val="center"/>
          </w:tcPr>
          <w:p>
            <w:pPr>
              <w:pStyle w:val="49"/>
              <w:keepNext w:val="0"/>
              <w:keepLines w:val="0"/>
              <w:pageBreakBefore w:val="0"/>
              <w:widowControl w:val="0"/>
              <w:kinsoku/>
              <w:wordWrap w:val="0"/>
              <w:overflowPunct/>
              <w:bidi w:val="0"/>
              <w:adjustRightInd w:val="0"/>
              <w:spacing w:line="320" w:lineRule="exact"/>
              <w:ind w:left="28" w:leftChars="0" w:right="12" w:rightChars="5"/>
              <w:textAlignment w:val="auto"/>
              <w:rPr>
                <w:rFonts w:cs="宋体"/>
                <w:sz w:val="21"/>
                <w:szCs w:val="21"/>
                <w:highlight w:val="none"/>
              </w:rPr>
            </w:pPr>
            <w:r>
              <w:rPr>
                <w:rFonts w:hint="eastAsia" w:cs="宋体"/>
                <w:sz w:val="21"/>
                <w:szCs w:val="21"/>
                <w:highlight w:val="none"/>
              </w:rPr>
              <w:t>若招标文件中其他内容与投标人须知前附表内容不一致的，以投标人须知前附表为准。</w:t>
            </w:r>
          </w:p>
        </w:tc>
      </w:tr>
    </w:tbl>
    <w:p>
      <w:pPr>
        <w:pStyle w:val="50"/>
        <w:spacing w:before="120" w:after="120"/>
        <w:rPr>
          <w:highlight w:val="none"/>
        </w:rPr>
      </w:pPr>
      <w:r>
        <w:rPr>
          <w:rFonts w:hint="eastAsia"/>
          <w:highlight w:val="none"/>
        </w:rPr>
        <w:br w:type="page"/>
      </w:r>
      <w:bookmarkStart w:id="38" w:name="_Toc2042"/>
      <w:bookmarkStart w:id="39" w:name="_Toc23295"/>
      <w:bookmarkStart w:id="40" w:name="_Toc27096"/>
      <w:bookmarkStart w:id="41" w:name="_Toc4011"/>
      <w:bookmarkStart w:id="42" w:name="_Toc26593"/>
      <w:r>
        <w:rPr>
          <w:rFonts w:hint="eastAsia"/>
          <w:highlight w:val="none"/>
        </w:rPr>
        <w:t>总 则</w:t>
      </w:r>
      <w:bookmarkEnd w:id="37"/>
      <w:bookmarkEnd w:id="38"/>
      <w:bookmarkEnd w:id="39"/>
      <w:bookmarkEnd w:id="40"/>
      <w:bookmarkEnd w:id="41"/>
      <w:bookmarkEnd w:id="42"/>
    </w:p>
    <w:p>
      <w:pPr>
        <w:pStyle w:val="31"/>
        <w:ind w:firstLine="482"/>
        <w:rPr>
          <w:rFonts w:cs="宋体"/>
          <w:highlight w:val="none"/>
        </w:rPr>
      </w:pPr>
      <w:bookmarkStart w:id="43" w:name="_Toc307564829"/>
      <w:bookmarkStart w:id="44" w:name="_Toc319440119"/>
      <w:bookmarkStart w:id="45" w:name="_Toc3601"/>
      <w:bookmarkStart w:id="46" w:name="_Toc32648"/>
      <w:bookmarkStart w:id="47" w:name="_Toc23796"/>
      <w:bookmarkStart w:id="48" w:name="_Toc12046"/>
      <w:bookmarkStart w:id="49" w:name="_Toc308084574"/>
      <w:bookmarkStart w:id="50" w:name="_Toc29532"/>
      <w:bookmarkStart w:id="51" w:name="_Toc327196263"/>
      <w:bookmarkStart w:id="52" w:name="_Toc15148"/>
      <w:bookmarkStart w:id="53" w:name="_Toc319439877"/>
      <w:bookmarkStart w:id="54" w:name="_Toc309897492"/>
      <w:bookmarkStart w:id="55" w:name="_Toc10311"/>
      <w:bookmarkStart w:id="56" w:name="_Toc32483"/>
      <w:bookmarkStart w:id="57" w:name="_Toc31870"/>
      <w:bookmarkStart w:id="58" w:name="_Toc308188129"/>
      <w:bookmarkStart w:id="59" w:name="_Toc217446034"/>
      <w:bookmarkStart w:id="60" w:name="_Toc28450"/>
      <w:bookmarkStart w:id="61" w:name="_Toc307501086"/>
      <w:bookmarkStart w:id="62" w:name="_Toc20769"/>
      <w:bookmarkStart w:id="63" w:name="_Toc5790"/>
      <w:r>
        <w:rPr>
          <w:rFonts w:hint="eastAsia" w:cs="宋体"/>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3"/>
        <w:numPr>
          <w:ilvl w:val="2"/>
          <w:numId w:val="0"/>
        </w:numPr>
        <w:ind w:firstLine="480" w:firstLineChars="200"/>
        <w:rPr>
          <w:rFonts w:cs="宋体"/>
          <w:highlight w:val="none"/>
        </w:rPr>
      </w:pPr>
      <w:r>
        <w:rPr>
          <w:rFonts w:hint="eastAsia" w:cs="宋体"/>
          <w:highlight w:val="none"/>
        </w:rPr>
        <w:t>本招标文件仅适用于本次公开招标采购项目。</w:t>
      </w:r>
    </w:p>
    <w:p>
      <w:pPr>
        <w:pStyle w:val="31"/>
        <w:ind w:firstLine="482"/>
        <w:rPr>
          <w:rFonts w:cs="宋体"/>
          <w:highlight w:val="none"/>
        </w:rPr>
      </w:pPr>
      <w:bookmarkStart w:id="64" w:name="_Toc307501087"/>
      <w:bookmarkStart w:id="65" w:name="_Toc13022"/>
      <w:bookmarkStart w:id="66" w:name="_Toc156"/>
      <w:bookmarkStart w:id="67" w:name="_Toc19670"/>
      <w:bookmarkStart w:id="68" w:name="_Toc217446035"/>
      <w:bookmarkStart w:id="69" w:name="_Toc12194"/>
      <w:bookmarkStart w:id="70" w:name="_Toc27943"/>
      <w:bookmarkStart w:id="71" w:name="_Toc309897493"/>
      <w:bookmarkStart w:id="72" w:name="_Toc24985"/>
      <w:bookmarkStart w:id="73" w:name="_Toc7942"/>
      <w:bookmarkStart w:id="74" w:name="_Toc524"/>
      <w:bookmarkStart w:id="75" w:name="_Toc319440120"/>
      <w:bookmarkStart w:id="76" w:name="_Toc327196264"/>
      <w:bookmarkStart w:id="77" w:name="_Toc16858"/>
      <w:bookmarkStart w:id="78" w:name="_Toc2775"/>
      <w:bookmarkStart w:id="79" w:name="_Toc307564830"/>
      <w:bookmarkStart w:id="80" w:name="_Toc319439878"/>
      <w:bookmarkStart w:id="81" w:name="_Toc308188130"/>
      <w:bookmarkStart w:id="82" w:name="_Toc24751"/>
      <w:bookmarkStart w:id="83" w:name="_Toc19069"/>
      <w:bookmarkStart w:id="84" w:name="_Toc308084575"/>
      <w:r>
        <w:rPr>
          <w:rFonts w:hint="eastAsia" w:cs="宋体"/>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2"/>
        <w:ind w:firstLine="480"/>
        <w:rPr>
          <w:rFonts w:cs="宋体"/>
          <w:highlight w:val="none"/>
        </w:rPr>
      </w:pPr>
      <w:r>
        <w:rPr>
          <w:rFonts w:hint="eastAsia" w:cs="宋体"/>
          <w:highlight w:val="none"/>
        </w:rPr>
        <w:t>“采购人”系指依法进行政府采购的国家机关、事业单位、团体组织。本次招标的采购人是成都市技师学院。</w:t>
      </w:r>
    </w:p>
    <w:p>
      <w:pPr>
        <w:pStyle w:val="32"/>
        <w:ind w:firstLine="480"/>
        <w:rPr>
          <w:rFonts w:cs="宋体"/>
          <w:highlight w:val="none"/>
        </w:rPr>
      </w:pPr>
      <w:r>
        <w:rPr>
          <w:rFonts w:hint="eastAsia" w:cs="宋体"/>
          <w:highlight w:val="none"/>
        </w:rPr>
        <w:t>“采购代理机构”系指根据采购人的委托依法办理招标事宜的采购机构。本次招标的采购代理机构是四川乾新招投标代理有限公司。</w:t>
      </w:r>
    </w:p>
    <w:p>
      <w:pPr>
        <w:pStyle w:val="32"/>
        <w:ind w:firstLine="480"/>
        <w:rPr>
          <w:rFonts w:cs="宋体"/>
          <w:highlight w:val="none"/>
        </w:rPr>
      </w:pPr>
      <w:r>
        <w:rPr>
          <w:rFonts w:hint="eastAsia" w:cs="宋体"/>
          <w:highlight w:val="none"/>
        </w:rPr>
        <w:t>“招标采购单位”系指“采购人”和“采购代理机构”的统称。</w:t>
      </w:r>
    </w:p>
    <w:p>
      <w:pPr>
        <w:pStyle w:val="32"/>
        <w:ind w:firstLine="480"/>
        <w:rPr>
          <w:rFonts w:cs="宋体"/>
          <w:highlight w:val="none"/>
        </w:rPr>
      </w:pPr>
      <w:r>
        <w:rPr>
          <w:rFonts w:hint="eastAsia" w:cs="宋体"/>
          <w:highlight w:val="none"/>
        </w:rPr>
        <w:t>“投标人”</w:t>
      </w:r>
      <w:r>
        <w:rPr>
          <w:rFonts w:hint="eastAsia"/>
          <w:highlight w:val="none"/>
        </w:rPr>
        <w:t>系指购买了招标文件拟参加投标和向采购人提供货物及相应服务的供应商</w:t>
      </w:r>
      <w:r>
        <w:rPr>
          <w:rFonts w:hint="eastAsia" w:cs="宋体"/>
          <w:highlight w:val="none"/>
        </w:rPr>
        <w:t>。</w:t>
      </w:r>
    </w:p>
    <w:p>
      <w:pPr>
        <w:pStyle w:val="32"/>
        <w:ind w:firstLine="480"/>
        <w:rPr>
          <w:rFonts w:cs="宋体"/>
          <w:highlight w:val="none"/>
        </w:rPr>
      </w:pPr>
      <w:r>
        <w:rPr>
          <w:rFonts w:hint="eastAsia" w:cs="宋体"/>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2"/>
        <w:ind w:firstLine="480"/>
        <w:rPr>
          <w:rFonts w:cs="宋体"/>
          <w:highlight w:val="none"/>
        </w:rPr>
      </w:pPr>
      <w:r>
        <w:rPr>
          <w:rFonts w:hint="eastAsia" w:cs="宋体"/>
          <w:highlight w:val="none"/>
        </w:rPr>
        <w:t>本招标文件各部分规定的时间均以北京时间为准。</w:t>
      </w:r>
    </w:p>
    <w:p>
      <w:pPr>
        <w:pStyle w:val="31"/>
        <w:ind w:firstLine="482"/>
        <w:rPr>
          <w:rFonts w:cs="宋体"/>
          <w:highlight w:val="none"/>
        </w:rPr>
      </w:pPr>
      <w:bookmarkStart w:id="85" w:name="_Toc319439879"/>
      <w:bookmarkStart w:id="86" w:name="_Toc217446036"/>
      <w:bookmarkStart w:id="87" w:name="_Toc30244"/>
      <w:bookmarkStart w:id="88" w:name="_Toc309897494"/>
      <w:bookmarkStart w:id="89" w:name="_Toc24547"/>
      <w:bookmarkStart w:id="90" w:name="_Toc183682344"/>
      <w:bookmarkStart w:id="91" w:name="_Toc308188131"/>
      <w:bookmarkStart w:id="92" w:name="_Toc319440121"/>
      <w:bookmarkStart w:id="93" w:name="_Toc26508"/>
      <w:bookmarkStart w:id="94" w:name="_Toc7511"/>
      <w:bookmarkStart w:id="95" w:name="_Toc327196265"/>
      <w:bookmarkStart w:id="96" w:name="_Toc183582207"/>
      <w:bookmarkStart w:id="97" w:name="_Toc307501088"/>
      <w:bookmarkStart w:id="98" w:name="_Toc3060"/>
      <w:bookmarkStart w:id="99" w:name="_Toc307564831"/>
      <w:bookmarkStart w:id="100" w:name="_Toc308084576"/>
      <w:bookmarkStart w:id="101" w:name="_Toc217390843"/>
      <w:bookmarkStart w:id="102" w:name="_Toc29784"/>
      <w:bookmarkStart w:id="103" w:name="_Toc23383"/>
      <w:bookmarkStart w:id="104" w:name="_Toc22174"/>
      <w:bookmarkStart w:id="105" w:name="_Toc4501"/>
      <w:bookmarkStart w:id="106" w:name="_Toc31295"/>
      <w:bookmarkStart w:id="107" w:name="_Toc30689"/>
      <w:bookmarkStart w:id="108" w:name="_Toc10369"/>
      <w:r>
        <w:rPr>
          <w:rFonts w:hint="eastAsia" w:cs="宋体"/>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s="宋体"/>
          <w:highlight w:val="none"/>
        </w:rPr>
        <w:t>(实质性要求)</w:t>
      </w:r>
      <w:bookmarkEnd w:id="105"/>
      <w:bookmarkEnd w:id="106"/>
      <w:bookmarkEnd w:id="107"/>
      <w:bookmarkEnd w:id="108"/>
    </w:p>
    <w:p>
      <w:pPr>
        <w:pStyle w:val="33"/>
        <w:rPr>
          <w:rFonts w:cs="宋体"/>
          <w:highlight w:val="none"/>
        </w:rPr>
      </w:pPr>
      <w:r>
        <w:rPr>
          <w:rFonts w:hint="eastAsia" w:cs="宋体"/>
          <w:highlight w:val="none"/>
        </w:rPr>
        <w:t>合格的投标人应具备以下条件：</w:t>
      </w:r>
    </w:p>
    <w:p>
      <w:pPr>
        <w:pStyle w:val="32"/>
        <w:ind w:firstLine="480"/>
        <w:rPr>
          <w:rFonts w:cs="宋体"/>
          <w:highlight w:val="none"/>
        </w:rPr>
      </w:pPr>
      <w:r>
        <w:rPr>
          <w:rFonts w:hint="eastAsia" w:cs="宋体"/>
          <w:highlight w:val="none"/>
        </w:rPr>
        <w:t>本招标文件“投标邀请”第五条规定的条件；</w:t>
      </w:r>
    </w:p>
    <w:p>
      <w:pPr>
        <w:pStyle w:val="32"/>
        <w:ind w:firstLine="480"/>
        <w:rPr>
          <w:rFonts w:cs="宋体"/>
          <w:highlight w:val="none"/>
        </w:rPr>
      </w:pPr>
      <w:r>
        <w:rPr>
          <w:rFonts w:hint="eastAsia" w:cs="宋体"/>
          <w:highlight w:val="none"/>
        </w:rPr>
        <w:t>遵守国家有关的法律、法规、规章和其他政策制度；</w:t>
      </w:r>
    </w:p>
    <w:p>
      <w:pPr>
        <w:pStyle w:val="32"/>
        <w:ind w:firstLine="480"/>
        <w:rPr>
          <w:rFonts w:cs="宋体"/>
          <w:highlight w:val="none"/>
        </w:rPr>
      </w:pPr>
      <w:r>
        <w:rPr>
          <w:rFonts w:hint="eastAsia" w:cs="宋体"/>
          <w:highlight w:val="none"/>
        </w:rPr>
        <w:t>向采购代理机构依法获取了招标文件并完成登记。</w:t>
      </w:r>
    </w:p>
    <w:p>
      <w:pPr>
        <w:pStyle w:val="31"/>
        <w:ind w:firstLine="482"/>
        <w:rPr>
          <w:rFonts w:cs="宋体"/>
          <w:highlight w:val="none"/>
        </w:rPr>
      </w:pPr>
      <w:bookmarkStart w:id="109" w:name="_Toc4414"/>
      <w:bookmarkStart w:id="110" w:name="_Toc9761"/>
      <w:bookmarkStart w:id="111" w:name="_Toc14323"/>
      <w:bookmarkStart w:id="112" w:name="_Toc319440122"/>
      <w:bookmarkStart w:id="113" w:name="_Toc327196266"/>
      <w:bookmarkStart w:id="114" w:name="_Toc183582208"/>
      <w:bookmarkStart w:id="115" w:name="_Toc309897495"/>
      <w:bookmarkStart w:id="116" w:name="_Toc5067"/>
      <w:bookmarkStart w:id="117" w:name="_Toc26952"/>
      <w:bookmarkStart w:id="118" w:name="_Toc183682345"/>
      <w:bookmarkStart w:id="119" w:name="_Toc21649"/>
      <w:bookmarkStart w:id="120" w:name="_Toc308188132"/>
      <w:bookmarkStart w:id="121" w:name="_Toc307564832"/>
      <w:bookmarkStart w:id="122" w:name="_Toc12293"/>
      <w:bookmarkStart w:id="123" w:name="_Toc307501089"/>
      <w:bookmarkStart w:id="124" w:name="_Toc308084577"/>
      <w:bookmarkStart w:id="125" w:name="_Toc217446037"/>
      <w:bookmarkStart w:id="126" w:name="_Toc28895"/>
      <w:bookmarkStart w:id="127" w:name="_Toc319439880"/>
      <w:bookmarkStart w:id="128" w:name="_Toc20132"/>
      <w:bookmarkStart w:id="129" w:name="_Toc31729"/>
      <w:bookmarkStart w:id="130" w:name="_Toc30977"/>
      <w:bookmarkStart w:id="131" w:name="_Toc7047"/>
      <w:r>
        <w:rPr>
          <w:rFonts w:hint="eastAsia" w:cs="宋体"/>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s="宋体"/>
          <w:highlight w:val="none"/>
        </w:rPr>
        <w:t>(实质性要求)</w:t>
      </w:r>
      <w:bookmarkEnd w:id="128"/>
      <w:bookmarkEnd w:id="129"/>
      <w:bookmarkEnd w:id="130"/>
      <w:bookmarkEnd w:id="131"/>
    </w:p>
    <w:p>
      <w:pPr>
        <w:pStyle w:val="33"/>
        <w:rPr>
          <w:rFonts w:cs="宋体"/>
          <w:highlight w:val="none"/>
        </w:rPr>
      </w:pPr>
      <w:r>
        <w:rPr>
          <w:rFonts w:hint="eastAsia" w:cs="宋体"/>
          <w:highlight w:val="none"/>
        </w:rPr>
        <w:t>无论投标的结果如何，投标人参加投标的有关费用由投标人自行承担。</w:t>
      </w:r>
    </w:p>
    <w:p>
      <w:pPr>
        <w:pStyle w:val="31"/>
        <w:ind w:firstLine="482"/>
        <w:rPr>
          <w:rFonts w:cs="宋体"/>
          <w:highlight w:val="none"/>
        </w:rPr>
      </w:pPr>
      <w:bookmarkStart w:id="132" w:name="_Toc11996"/>
      <w:bookmarkStart w:id="133" w:name="_Toc7710"/>
      <w:bookmarkStart w:id="134" w:name="_Toc28490"/>
      <w:bookmarkStart w:id="135" w:name="_Toc319440123"/>
      <w:bookmarkStart w:id="136" w:name="_Toc319439881"/>
      <w:bookmarkStart w:id="137" w:name="_Toc27604"/>
      <w:bookmarkStart w:id="138" w:name="_Toc308188133"/>
      <w:bookmarkStart w:id="139" w:name="_Toc308084578"/>
      <w:bookmarkStart w:id="140" w:name="_Toc18993"/>
      <w:bookmarkStart w:id="141" w:name="_Toc309897496"/>
      <w:bookmarkStart w:id="142" w:name="_Toc327196267"/>
      <w:bookmarkStart w:id="143" w:name="_Toc27927"/>
      <w:bookmarkStart w:id="144" w:name="_Toc307501090"/>
      <w:bookmarkStart w:id="145" w:name="_Toc11131"/>
      <w:bookmarkStart w:id="146" w:name="_Toc18984"/>
      <w:bookmarkStart w:id="147" w:name="_Toc307564833"/>
      <w:bookmarkStart w:id="148" w:name="_Toc5564"/>
      <w:bookmarkStart w:id="149" w:name="_Toc11923"/>
      <w:bookmarkStart w:id="150" w:name="_Toc433"/>
      <w:bookmarkStart w:id="151" w:name="_Toc23684"/>
      <w:r>
        <w:rPr>
          <w:rFonts w:hint="eastAsia" w:cs="宋体"/>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s="宋体"/>
          <w:highlight w:val="none"/>
        </w:rPr>
        <w:t>(实质性要求)</w:t>
      </w:r>
      <w:bookmarkEnd w:id="148"/>
      <w:bookmarkEnd w:id="149"/>
      <w:bookmarkEnd w:id="150"/>
      <w:bookmarkEnd w:id="151"/>
    </w:p>
    <w:p>
      <w:pPr>
        <w:pStyle w:val="32"/>
        <w:ind w:firstLine="480"/>
        <w:rPr>
          <w:highlight w:val="none"/>
        </w:rPr>
      </w:pPr>
      <w:bookmarkStart w:id="152" w:name="_Toc77400779"/>
      <w:bookmarkStart w:id="153" w:name="_Toc183682346"/>
      <w:bookmarkStart w:id="154" w:name="_Toc217446038"/>
      <w:bookmarkStart w:id="155" w:name="_Toc183582209"/>
      <w:bookmarkStart w:id="156" w:name="_Toc13891"/>
      <w:bookmarkStart w:id="157" w:name="_Toc327196268"/>
      <w:bookmarkStart w:id="158" w:name="_Toc89075875"/>
      <w:r>
        <w:rPr>
          <w:rFonts w:hint="eastAsia"/>
          <w:highlight w:val="none"/>
        </w:rPr>
        <w:t>提供相同品牌产品处理。</w:t>
      </w:r>
    </w:p>
    <w:p>
      <w:pPr>
        <w:pStyle w:val="33"/>
        <w:rPr>
          <w:highlight w:val="none"/>
        </w:rPr>
      </w:pPr>
      <w:r>
        <w:rPr>
          <w:rFonts w:hint="eastAsia"/>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33"/>
        <w:rPr>
          <w:highlight w:val="none"/>
        </w:rPr>
      </w:pPr>
      <w:r>
        <w:rPr>
          <w:rFonts w:hint="eastAsia"/>
          <w:highlight w:val="none"/>
        </w:rPr>
        <w:t>本采购项目核心产品为：</w:t>
      </w:r>
      <w:r>
        <w:rPr>
          <w:rFonts w:hint="eastAsia"/>
          <w:b/>
          <w:bCs/>
          <w:highlight w:val="none"/>
        </w:rPr>
        <w:t>正线联锁控制柜</w:t>
      </w:r>
      <w:r>
        <w:rPr>
          <w:rFonts w:hint="eastAsia"/>
          <w:highlight w:val="none"/>
        </w:rPr>
        <w:t>，若为相同品牌产品按前款规定执行。</w:t>
      </w:r>
    </w:p>
    <w:p>
      <w:pPr>
        <w:pStyle w:val="32"/>
        <w:ind w:firstLine="480"/>
        <w:rPr>
          <w:highlight w:val="none"/>
        </w:rPr>
      </w:pPr>
      <w:r>
        <w:rPr>
          <w:rFonts w:hint="eastAsia"/>
          <w:highlight w:val="none"/>
        </w:rPr>
        <w:t>利害关系供应商处理。</w:t>
      </w:r>
    </w:p>
    <w:p>
      <w:pPr>
        <w:pStyle w:val="33"/>
        <w:rPr>
          <w:highlight w:val="none"/>
        </w:rPr>
      </w:pPr>
      <w:r>
        <w:rPr>
          <w:rFonts w:hint="eastAsia"/>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3"/>
        <w:rPr>
          <w:highlight w:val="none"/>
        </w:rPr>
      </w:pPr>
      <w:r>
        <w:rPr>
          <w:rFonts w:hint="eastAsia"/>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2"/>
        <w:ind w:firstLine="480"/>
        <w:rPr>
          <w:highlight w:val="none"/>
        </w:rPr>
      </w:pPr>
      <w:r>
        <w:rPr>
          <w:rFonts w:hint="eastAsia"/>
          <w:highlight w:val="none"/>
        </w:rPr>
        <w:t>前期参与供应商处理。</w:t>
      </w:r>
    </w:p>
    <w:p>
      <w:pPr>
        <w:pStyle w:val="33"/>
        <w:rPr>
          <w:rFonts w:cs="宋体"/>
          <w:highlight w:val="none"/>
        </w:rPr>
      </w:pPr>
      <w:r>
        <w:rPr>
          <w:rFonts w:hint="eastAsia"/>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3"/>
        <w:ind w:firstLine="482"/>
        <w:rPr>
          <w:rFonts w:cs="宋体"/>
          <w:b/>
          <w:bCs/>
          <w:highlight w:val="none"/>
        </w:rPr>
      </w:pPr>
      <w:r>
        <w:rPr>
          <w:rFonts w:hint="eastAsia"/>
          <w:b/>
          <w:bCs/>
          <w:highlight w:val="none"/>
        </w:rPr>
        <w:t>注：本项目符合本条规定的供应商是：重庆联纵智能科技有限公司，参加本项目投标的按无效投标处理。</w:t>
      </w:r>
    </w:p>
    <w:p>
      <w:pPr>
        <w:pStyle w:val="32"/>
        <w:ind w:firstLine="480"/>
        <w:rPr>
          <w:rFonts w:cs="宋体"/>
          <w:highlight w:val="none"/>
        </w:rPr>
      </w:pPr>
      <w:r>
        <w:rPr>
          <w:rFonts w:hint="eastAsia" w:cs="宋体"/>
          <w:highlight w:val="none"/>
        </w:rPr>
        <w:t>利害关系代理人处理。</w:t>
      </w:r>
    </w:p>
    <w:p>
      <w:pPr>
        <w:pStyle w:val="34"/>
        <w:ind w:firstLine="480"/>
        <w:rPr>
          <w:rFonts w:cs="宋体"/>
          <w:highlight w:val="none"/>
        </w:rPr>
      </w:pPr>
      <w:r>
        <w:rPr>
          <w:rFonts w:hint="eastAsia" w:cs="宋体"/>
          <w:highlight w:val="none"/>
        </w:rPr>
        <w:t>在同一合同项下的采购项目中，若有2家及以上的供应商同时委托同一个自然人、同一家庭的人员、同一单位的人员作为其代理人，其投标文件作为无效处理。</w:t>
      </w:r>
    </w:p>
    <w:p>
      <w:pPr>
        <w:pStyle w:val="34"/>
        <w:ind w:firstLine="480"/>
        <w:rPr>
          <w:rFonts w:cs="宋体"/>
          <w:highlight w:val="none"/>
        </w:rPr>
      </w:pPr>
      <w:r>
        <w:rPr>
          <w:rFonts w:hint="eastAsia" w:cs="宋体"/>
          <w:highlight w:val="none"/>
        </w:rPr>
        <w:t>供应商实际控制人或者中高级管理人员，同时是采购代理机构工作人员，不得参与本项目政府采购活动。</w:t>
      </w:r>
    </w:p>
    <w:p>
      <w:pPr>
        <w:pStyle w:val="34"/>
        <w:ind w:firstLine="480"/>
        <w:rPr>
          <w:rFonts w:cs="宋体"/>
          <w:highlight w:val="none"/>
        </w:rPr>
      </w:pPr>
      <w:r>
        <w:rPr>
          <w:rFonts w:hint="eastAsia" w:cs="宋体"/>
          <w:highlight w:val="none"/>
        </w:rPr>
        <w:t>同一母公司的两家以上的子公司只能组成联合体参加本项目同一合同项下的采购活动，不得以不同供应商身份同时参加本项目同一合同项下的采购活动。</w:t>
      </w:r>
    </w:p>
    <w:p>
      <w:pPr>
        <w:pStyle w:val="34"/>
        <w:ind w:firstLine="480"/>
        <w:rPr>
          <w:rFonts w:cs="宋体"/>
          <w:highlight w:val="none"/>
        </w:rPr>
      </w:pPr>
      <w:r>
        <w:rPr>
          <w:rFonts w:hint="eastAsia" w:cs="宋体"/>
          <w:highlight w:val="none"/>
        </w:rPr>
        <w:t>供应商与采购代理机构存在关联关系，或者是采购代理机构的母公司或子公司，不得参加本项目政府采购活动。</w:t>
      </w:r>
    </w:p>
    <w:p>
      <w:pPr>
        <w:pStyle w:val="50"/>
        <w:spacing w:before="120" w:after="120"/>
        <w:rPr>
          <w:highlight w:val="none"/>
        </w:rPr>
      </w:pPr>
      <w:bookmarkStart w:id="159" w:name="_Toc14125"/>
      <w:bookmarkStart w:id="160" w:name="_Toc23781"/>
      <w:bookmarkStart w:id="161" w:name="_Toc27564"/>
      <w:bookmarkStart w:id="162" w:name="_Toc12561"/>
      <w:r>
        <w:rPr>
          <w:rFonts w:hint="eastAsia"/>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31"/>
        <w:numPr>
          <w:ilvl w:val="2"/>
          <w:numId w:val="12"/>
        </w:numPr>
        <w:ind w:firstLine="482"/>
        <w:rPr>
          <w:rFonts w:cs="宋体"/>
          <w:highlight w:val="none"/>
        </w:rPr>
      </w:pPr>
      <w:bookmarkStart w:id="163" w:name="_Toc319439883"/>
      <w:bookmarkStart w:id="164" w:name="_Toc217446039"/>
      <w:bookmarkStart w:id="165" w:name="_Toc309897498"/>
      <w:bookmarkStart w:id="166" w:name="_Toc24565"/>
      <w:bookmarkStart w:id="167" w:name="_Toc19030"/>
      <w:bookmarkStart w:id="168" w:name="_Toc5983"/>
      <w:bookmarkStart w:id="169" w:name="_Toc21985"/>
      <w:bookmarkStart w:id="170" w:name="_Toc25650"/>
      <w:bookmarkStart w:id="171" w:name="_Toc307501092"/>
      <w:bookmarkStart w:id="172" w:name="_Toc183582210"/>
      <w:bookmarkStart w:id="173" w:name="_Toc8808"/>
      <w:bookmarkStart w:id="174" w:name="_Toc22520"/>
      <w:bookmarkStart w:id="175" w:name="_Toc29703"/>
      <w:bookmarkStart w:id="176" w:name="_Toc25874"/>
      <w:bookmarkStart w:id="177" w:name="_Toc308084580"/>
      <w:bookmarkStart w:id="178" w:name="_Toc183682347"/>
      <w:bookmarkStart w:id="179" w:name="_Toc319440125"/>
      <w:bookmarkStart w:id="180" w:name="_Toc29642"/>
      <w:bookmarkStart w:id="181" w:name="_Toc327196269"/>
      <w:bookmarkStart w:id="182" w:name="_Toc7474"/>
      <w:bookmarkStart w:id="183" w:name="_Toc308188135"/>
      <w:bookmarkStart w:id="184" w:name="_Toc16404"/>
      <w:bookmarkStart w:id="185" w:name="_Toc307564835"/>
      <w:r>
        <w:rPr>
          <w:rFonts w:hint="eastAsia" w:cs="宋体"/>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2"/>
        <w:ind w:firstLine="480"/>
        <w:rPr>
          <w:rFonts w:cs="宋体"/>
          <w:highlight w:val="none"/>
        </w:rPr>
      </w:pPr>
      <w:r>
        <w:rPr>
          <w:rFonts w:hint="eastAsia" w:cs="宋体"/>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4"/>
        <w:ind w:firstLine="480"/>
        <w:rPr>
          <w:rFonts w:cs="宋体"/>
          <w:highlight w:val="none"/>
        </w:rPr>
      </w:pPr>
      <w:r>
        <w:rPr>
          <w:rFonts w:hint="eastAsia" w:cs="宋体"/>
          <w:highlight w:val="none"/>
        </w:rPr>
        <w:t>投标邀请；</w:t>
      </w:r>
    </w:p>
    <w:p>
      <w:pPr>
        <w:pStyle w:val="34"/>
        <w:ind w:firstLine="480"/>
        <w:rPr>
          <w:rFonts w:cs="宋体"/>
          <w:highlight w:val="none"/>
        </w:rPr>
      </w:pPr>
      <w:r>
        <w:rPr>
          <w:rFonts w:hint="eastAsia" w:cs="宋体"/>
          <w:highlight w:val="none"/>
        </w:rPr>
        <w:t>投标人须知(包括投标文件的制作、签章、加密要求等)；</w:t>
      </w:r>
    </w:p>
    <w:p>
      <w:pPr>
        <w:pStyle w:val="34"/>
        <w:ind w:firstLine="480"/>
        <w:rPr>
          <w:rFonts w:cs="宋体"/>
          <w:highlight w:val="none"/>
        </w:rPr>
      </w:pPr>
      <w:r>
        <w:rPr>
          <w:rFonts w:hint="eastAsia" w:cs="宋体"/>
          <w:highlight w:val="none"/>
        </w:rPr>
        <w:t>投标人应当提交的资格、资信证明文件；</w:t>
      </w:r>
    </w:p>
    <w:p>
      <w:pPr>
        <w:pStyle w:val="34"/>
        <w:ind w:firstLine="480"/>
        <w:rPr>
          <w:rFonts w:cs="宋体"/>
          <w:highlight w:val="none"/>
        </w:rPr>
      </w:pPr>
      <w:r>
        <w:rPr>
          <w:rFonts w:hint="eastAsia" w:cs="宋体"/>
          <w:highlight w:val="none"/>
        </w:rPr>
        <w:t>为落实政府采购政策，采购标的需满足的要求，以及投标人须提供的证明材料；</w:t>
      </w:r>
    </w:p>
    <w:p>
      <w:pPr>
        <w:pStyle w:val="34"/>
        <w:ind w:firstLine="480"/>
        <w:rPr>
          <w:rFonts w:cs="宋体"/>
          <w:highlight w:val="none"/>
        </w:rPr>
      </w:pPr>
      <w:r>
        <w:rPr>
          <w:rFonts w:hint="eastAsia" w:cs="宋体"/>
          <w:highlight w:val="none"/>
        </w:rPr>
        <w:t>投标文件编制要求、投标报价要求；</w:t>
      </w:r>
    </w:p>
    <w:p>
      <w:pPr>
        <w:pStyle w:val="34"/>
        <w:ind w:firstLine="480"/>
        <w:rPr>
          <w:rFonts w:cs="宋体"/>
          <w:highlight w:val="none"/>
        </w:rPr>
      </w:pPr>
      <w:r>
        <w:rPr>
          <w:rFonts w:hint="eastAsia" w:cs="宋体"/>
          <w:highlight w:val="none"/>
        </w:rPr>
        <w:t>采购项目预算金额，设定最高限价的，还应当公开最高限价；</w:t>
      </w:r>
    </w:p>
    <w:p>
      <w:pPr>
        <w:pStyle w:val="34"/>
        <w:ind w:firstLine="480"/>
        <w:rPr>
          <w:rFonts w:cs="宋体"/>
          <w:highlight w:val="none"/>
        </w:rPr>
      </w:pPr>
      <w:r>
        <w:rPr>
          <w:rFonts w:hint="eastAsia" w:cs="宋体"/>
          <w:highlight w:val="none"/>
        </w:rPr>
        <w:t>采购项目的技术规格、数量、服务标准、验收等要求，包括附件、图纸(如涉及)等；</w:t>
      </w:r>
    </w:p>
    <w:p>
      <w:pPr>
        <w:pStyle w:val="34"/>
        <w:ind w:firstLine="480"/>
        <w:rPr>
          <w:rFonts w:cs="宋体"/>
          <w:highlight w:val="none"/>
        </w:rPr>
      </w:pPr>
      <w:r>
        <w:rPr>
          <w:rFonts w:hint="eastAsia" w:cs="宋体"/>
          <w:highlight w:val="none"/>
        </w:rPr>
        <w:t>拟签订的合同文本；</w:t>
      </w:r>
    </w:p>
    <w:p>
      <w:pPr>
        <w:pStyle w:val="34"/>
        <w:ind w:firstLine="480"/>
        <w:rPr>
          <w:rFonts w:cs="宋体"/>
          <w:highlight w:val="none"/>
        </w:rPr>
      </w:pPr>
      <w:r>
        <w:rPr>
          <w:rFonts w:hint="eastAsia" w:cs="宋体"/>
          <w:highlight w:val="none"/>
        </w:rPr>
        <w:t>货物、服务提供的时间、地点、方式；</w:t>
      </w:r>
    </w:p>
    <w:p>
      <w:pPr>
        <w:pStyle w:val="34"/>
        <w:ind w:firstLine="480"/>
        <w:rPr>
          <w:rFonts w:cs="宋体"/>
          <w:highlight w:val="none"/>
        </w:rPr>
      </w:pPr>
      <w:r>
        <w:rPr>
          <w:rFonts w:hint="eastAsia" w:cs="宋体"/>
          <w:highlight w:val="none"/>
        </w:rPr>
        <w:t>采购资金的支付方式、时间、条件；</w:t>
      </w:r>
    </w:p>
    <w:p>
      <w:pPr>
        <w:pStyle w:val="34"/>
        <w:ind w:firstLine="480"/>
        <w:rPr>
          <w:rFonts w:cs="宋体"/>
          <w:highlight w:val="none"/>
        </w:rPr>
      </w:pPr>
      <w:r>
        <w:rPr>
          <w:rFonts w:hint="eastAsia" w:cs="宋体"/>
          <w:highlight w:val="none"/>
        </w:rPr>
        <w:t>评标方法、评标标准和投标无效情形；</w:t>
      </w:r>
    </w:p>
    <w:p>
      <w:pPr>
        <w:pStyle w:val="34"/>
        <w:ind w:firstLine="480"/>
        <w:rPr>
          <w:rFonts w:cs="宋体"/>
          <w:highlight w:val="none"/>
        </w:rPr>
      </w:pPr>
      <w:r>
        <w:rPr>
          <w:rFonts w:hint="eastAsia" w:cs="宋体"/>
          <w:highlight w:val="none"/>
        </w:rPr>
        <w:t>投标有效期；</w:t>
      </w:r>
    </w:p>
    <w:p>
      <w:pPr>
        <w:pStyle w:val="34"/>
        <w:ind w:firstLine="480"/>
        <w:rPr>
          <w:rFonts w:cs="宋体"/>
          <w:highlight w:val="none"/>
        </w:rPr>
      </w:pPr>
      <w:r>
        <w:rPr>
          <w:rFonts w:hint="eastAsia" w:cs="宋体"/>
          <w:highlight w:val="none"/>
        </w:rPr>
        <w:t>投标截止时间、开标时间及地点；</w:t>
      </w:r>
    </w:p>
    <w:p>
      <w:pPr>
        <w:pStyle w:val="34"/>
        <w:ind w:firstLine="480"/>
        <w:rPr>
          <w:rFonts w:cs="宋体"/>
          <w:highlight w:val="none"/>
        </w:rPr>
      </w:pPr>
      <w:r>
        <w:rPr>
          <w:rFonts w:hint="eastAsia" w:cs="宋体"/>
          <w:highlight w:val="none"/>
        </w:rPr>
        <w:t>采购代理机构代理费用的收取标准和方式；</w:t>
      </w:r>
    </w:p>
    <w:p>
      <w:pPr>
        <w:pStyle w:val="34"/>
        <w:ind w:firstLine="480"/>
        <w:rPr>
          <w:rFonts w:cs="宋体"/>
          <w:highlight w:val="none"/>
        </w:rPr>
      </w:pPr>
      <w:r>
        <w:rPr>
          <w:rFonts w:hint="eastAsia" w:cs="宋体"/>
          <w:highlight w:val="none"/>
        </w:rPr>
        <w:t>投标人信用信息查询渠道及截止时点、信用信息查询记录和证据留存的具体方式、信用信息的使用规则等；</w:t>
      </w:r>
    </w:p>
    <w:p>
      <w:pPr>
        <w:pStyle w:val="34"/>
        <w:ind w:firstLine="480"/>
        <w:rPr>
          <w:rFonts w:cs="宋体"/>
          <w:highlight w:val="none"/>
        </w:rPr>
      </w:pPr>
      <w:r>
        <w:rPr>
          <w:rFonts w:hint="eastAsia" w:cs="宋体"/>
          <w:highlight w:val="none"/>
        </w:rPr>
        <w:t>省级以上财政部门规定的其他事项。</w:t>
      </w:r>
    </w:p>
    <w:p>
      <w:pPr>
        <w:pStyle w:val="32"/>
        <w:numPr>
          <w:ilvl w:val="3"/>
          <w:numId w:val="12"/>
        </w:numPr>
        <w:ind w:firstLine="480"/>
        <w:rPr>
          <w:rFonts w:cs="宋体"/>
          <w:highlight w:val="none"/>
        </w:rPr>
      </w:pPr>
      <w:r>
        <w:rPr>
          <w:rFonts w:hint="eastAsia" w:cs="宋体"/>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1"/>
        <w:ind w:firstLine="482"/>
        <w:rPr>
          <w:rFonts w:cs="宋体"/>
          <w:highlight w:val="none"/>
        </w:rPr>
      </w:pPr>
      <w:bookmarkStart w:id="186" w:name="_Toc183582211"/>
      <w:bookmarkStart w:id="187" w:name="_Toc183682348"/>
      <w:bookmarkStart w:id="188" w:name="_Toc309897499"/>
      <w:bookmarkStart w:id="189" w:name="_Toc19612"/>
      <w:bookmarkStart w:id="190" w:name="_Toc319439884"/>
      <w:bookmarkStart w:id="191" w:name="_Toc17632"/>
      <w:bookmarkStart w:id="192" w:name="_Toc308188136"/>
      <w:bookmarkStart w:id="193" w:name="_Toc27690"/>
      <w:bookmarkStart w:id="194" w:name="_Toc307564836"/>
      <w:bookmarkStart w:id="195" w:name="_Toc319440126"/>
      <w:bookmarkStart w:id="196" w:name="_Toc307501093"/>
      <w:bookmarkStart w:id="197" w:name="_Toc11995"/>
      <w:bookmarkStart w:id="198" w:name="_Toc13600"/>
      <w:bookmarkStart w:id="199" w:name="_Toc4461"/>
      <w:bookmarkStart w:id="200" w:name="_Toc26020"/>
      <w:bookmarkStart w:id="201" w:name="_Toc16291"/>
      <w:bookmarkStart w:id="202" w:name="_Toc217446040"/>
      <w:bookmarkStart w:id="203" w:name="_Toc308084581"/>
      <w:bookmarkStart w:id="204" w:name="_Toc7541"/>
      <w:bookmarkStart w:id="205" w:name="_Toc31172"/>
      <w:bookmarkStart w:id="206" w:name="_Toc25894"/>
      <w:bookmarkStart w:id="207" w:name="_Toc22085"/>
      <w:bookmarkStart w:id="208" w:name="_Toc327196270"/>
      <w:r>
        <w:rPr>
          <w:rFonts w:hint="eastAsia" w:cs="宋体"/>
          <w:highlight w:val="none"/>
        </w:rPr>
        <w:t>招标文件的澄清</w:t>
      </w:r>
      <w:bookmarkEnd w:id="186"/>
      <w:bookmarkEnd w:id="187"/>
      <w:r>
        <w:rPr>
          <w:rFonts w:hint="eastAsia" w:cs="宋体"/>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2"/>
        <w:ind w:firstLine="480"/>
        <w:rPr>
          <w:highlight w:val="none"/>
        </w:rPr>
      </w:pPr>
      <w:bookmarkStart w:id="209" w:name="_Toc308188137"/>
      <w:bookmarkStart w:id="210" w:name="_Toc3361"/>
      <w:bookmarkStart w:id="211" w:name="_Toc3159"/>
      <w:bookmarkStart w:id="212" w:name="_Toc8838"/>
      <w:bookmarkStart w:id="213" w:name="_Toc309897500"/>
      <w:bookmarkStart w:id="214" w:name="_Toc2637"/>
      <w:bookmarkStart w:id="215" w:name="_Toc9735"/>
      <w:bookmarkStart w:id="216" w:name="_Toc24226"/>
      <w:bookmarkStart w:id="217" w:name="_Toc319439885"/>
      <w:bookmarkStart w:id="218" w:name="_Toc17111"/>
      <w:bookmarkStart w:id="219" w:name="_Toc7026"/>
      <w:bookmarkStart w:id="220" w:name="_Toc217446041"/>
      <w:bookmarkStart w:id="221" w:name="_Toc308084582"/>
      <w:bookmarkStart w:id="222" w:name="_Toc6811"/>
      <w:bookmarkStart w:id="223" w:name="_Toc307501094"/>
      <w:bookmarkStart w:id="224" w:name="_Toc208848971"/>
      <w:bookmarkStart w:id="225" w:name="_Toc307564837"/>
      <w:bookmarkStart w:id="226" w:name="_Toc319440127"/>
      <w:bookmarkStart w:id="227" w:name="_Toc22061"/>
      <w:bookmarkStart w:id="228" w:name="_Toc327196271"/>
      <w:r>
        <w:rPr>
          <w:rFonts w:hint="eastAsia"/>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32"/>
        <w:ind w:firstLine="480"/>
        <w:rPr>
          <w:highlight w:val="none"/>
        </w:rPr>
      </w:pPr>
      <w:r>
        <w:rPr>
          <w:rFonts w:hint="eastAsia"/>
          <w:highlight w:val="none"/>
        </w:rPr>
        <w:t>招标采购单位对已发出的招标文件进行澄清或者修改，澄清或者修改的内容可能影响投标文件编制的，采购人或者采购代理机构应当在投标截止时间至少15日前，</w:t>
      </w:r>
      <w:r>
        <w:rPr>
          <w:rFonts w:hint="eastAsia"/>
          <w:b/>
          <w:bCs/>
          <w:highlight w:val="none"/>
        </w:rPr>
        <w:t>在“四川政府采购网”发布本项目的更正公告</w:t>
      </w:r>
      <w:r>
        <w:rPr>
          <w:rFonts w:hint="eastAsia"/>
          <w:highlight w:val="none"/>
        </w:rPr>
        <w:t>；不足15日的，采购人或者采购代理机构应当顺延提交投标文件的截止时间。</w:t>
      </w:r>
    </w:p>
    <w:p>
      <w:pPr>
        <w:pStyle w:val="33"/>
        <w:ind w:firstLine="482"/>
        <w:rPr>
          <w:rFonts w:cs="宋体"/>
          <w:b/>
          <w:bCs/>
          <w:highlight w:val="none"/>
        </w:rPr>
      </w:pPr>
      <w:r>
        <w:rPr>
          <w:rFonts w:hint="eastAsia"/>
          <w:b/>
          <w:bCs/>
          <w:highlight w:val="none"/>
        </w:rPr>
        <w:t>投标人应于投标文件递交截止时间之前在“四川政府采购网”查询本项目的更正公告，以保证其对招标文件做出准确的响应。投标人未按要求下载相关文件，或由于未及时关注更正公告的信息造成的后果，其责任由投标人自行负责。供应商在关注更正通知后，将更正公告打印后加盖单位公章扫描提交至采购代理机构。如供应商未给予书面回复，则视为已知晓并认可该更正通知的内容。</w:t>
      </w:r>
    </w:p>
    <w:p>
      <w:pPr>
        <w:pStyle w:val="31"/>
        <w:ind w:firstLine="482"/>
        <w:rPr>
          <w:rFonts w:cs="宋体"/>
          <w:highlight w:val="none"/>
        </w:rPr>
      </w:pPr>
      <w:bookmarkStart w:id="229" w:name="_Toc31570"/>
      <w:bookmarkStart w:id="230" w:name="_Toc26888"/>
      <w:r>
        <w:rPr>
          <w:rFonts w:hint="eastAsia" w:cs="宋体"/>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2"/>
        <w:ind w:firstLine="480"/>
        <w:rPr>
          <w:rFonts w:cs="宋体"/>
          <w:highlight w:val="none"/>
        </w:rPr>
      </w:pPr>
      <w:bookmarkStart w:id="231" w:name="_Toc183682351"/>
      <w:bookmarkStart w:id="232" w:name="_Toc217446042"/>
      <w:bookmarkStart w:id="233" w:name="_Toc89075876"/>
      <w:bookmarkStart w:id="234" w:name="_Toc183582214"/>
      <w:bookmarkStart w:id="235" w:name="_Toc77400780"/>
      <w:bookmarkStart w:id="236" w:name="_Toc20199"/>
      <w:bookmarkStart w:id="237" w:name="_Toc327196272"/>
      <w:r>
        <w:rPr>
          <w:rFonts w:hint="eastAsia" w:cs="宋体"/>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32"/>
        <w:ind w:firstLine="480"/>
        <w:rPr>
          <w:rFonts w:cs="宋体"/>
          <w:highlight w:val="none"/>
        </w:rPr>
      </w:pPr>
      <w:r>
        <w:rPr>
          <w:rFonts w:hint="eastAsia" w:cs="宋体"/>
          <w:highlight w:val="none"/>
        </w:rPr>
        <w:t>投标人考察现场所发生的一切费用由投标人自行承担。</w:t>
      </w:r>
    </w:p>
    <w:p>
      <w:pPr>
        <w:pStyle w:val="50"/>
        <w:spacing w:before="120" w:after="120"/>
        <w:rPr>
          <w:highlight w:val="none"/>
        </w:rPr>
      </w:pPr>
      <w:bookmarkStart w:id="238" w:name="_Toc2627"/>
      <w:bookmarkStart w:id="239" w:name="_Toc16131"/>
      <w:bookmarkStart w:id="240" w:name="_Toc615"/>
      <w:bookmarkStart w:id="241" w:name="_Toc27479"/>
      <w:r>
        <w:rPr>
          <w:rFonts w:hint="eastAsia"/>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31"/>
        <w:numPr>
          <w:ilvl w:val="2"/>
          <w:numId w:val="13"/>
        </w:numPr>
        <w:ind w:firstLine="482"/>
        <w:rPr>
          <w:rFonts w:cs="宋体"/>
          <w:highlight w:val="none"/>
        </w:rPr>
      </w:pPr>
      <w:bookmarkStart w:id="242" w:name="_Toc308084584"/>
      <w:bookmarkStart w:id="243" w:name="_Toc183682352"/>
      <w:bookmarkStart w:id="244" w:name="_Toc2601"/>
      <w:bookmarkStart w:id="245" w:name="_Toc26076"/>
      <w:bookmarkStart w:id="246" w:name="_Toc307501096"/>
      <w:bookmarkStart w:id="247" w:name="_Toc21169"/>
      <w:bookmarkStart w:id="248" w:name="_Toc308188139"/>
      <w:bookmarkStart w:id="249" w:name="_Toc309897502"/>
      <w:bookmarkStart w:id="250" w:name="_Toc23564"/>
      <w:bookmarkStart w:id="251" w:name="_Toc217446043"/>
      <w:bookmarkStart w:id="252" w:name="_Toc3041"/>
      <w:bookmarkStart w:id="253" w:name="_Toc319439887"/>
      <w:bookmarkStart w:id="254" w:name="_Toc327196273"/>
      <w:bookmarkStart w:id="255" w:name="_Toc29330"/>
      <w:bookmarkStart w:id="256" w:name="_Toc307564839"/>
      <w:bookmarkStart w:id="257" w:name="_Toc27053"/>
      <w:bookmarkStart w:id="258" w:name="_Toc183582215"/>
      <w:bookmarkStart w:id="259" w:name="_Toc319440129"/>
      <w:bookmarkStart w:id="260" w:name="_Toc1641"/>
      <w:bookmarkStart w:id="261" w:name="_Toc8098"/>
      <w:bookmarkStart w:id="262" w:name="_Toc11217"/>
      <w:bookmarkStart w:id="263" w:name="_Toc8388"/>
      <w:bookmarkStart w:id="264" w:name="_Toc14178"/>
      <w:r>
        <w:rPr>
          <w:rFonts w:hint="eastAsia" w:cs="宋体"/>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s="宋体"/>
          <w:highlight w:val="none"/>
        </w:rPr>
        <w:t>(实质性要求)</w:t>
      </w:r>
      <w:bookmarkEnd w:id="261"/>
      <w:bookmarkEnd w:id="262"/>
      <w:bookmarkEnd w:id="263"/>
      <w:bookmarkEnd w:id="264"/>
    </w:p>
    <w:p>
      <w:pPr>
        <w:pStyle w:val="32"/>
        <w:ind w:firstLine="480"/>
        <w:rPr>
          <w:rFonts w:cs="宋体"/>
          <w:highlight w:val="none"/>
        </w:rPr>
      </w:pPr>
      <w:r>
        <w:rPr>
          <w:rFonts w:hint="eastAsia" w:cs="宋体"/>
          <w:highlight w:val="none"/>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32"/>
        <w:ind w:firstLine="480"/>
        <w:rPr>
          <w:rFonts w:cs="宋体"/>
          <w:highlight w:val="none"/>
        </w:rPr>
      </w:pPr>
      <w:r>
        <w:rPr>
          <w:rFonts w:hint="eastAsia" w:cs="宋体"/>
          <w:highlight w:val="none"/>
        </w:rPr>
        <w:t>翻译的中文资料与外文资料如果出现差异和矛盾时，以中文为准。但不能故意错误翻译，否则，投标人的投标文件将作为无效投标处理。</w:t>
      </w:r>
    </w:p>
    <w:p>
      <w:pPr>
        <w:pStyle w:val="31"/>
        <w:ind w:firstLine="482"/>
        <w:rPr>
          <w:rFonts w:cs="宋体"/>
          <w:highlight w:val="none"/>
        </w:rPr>
      </w:pPr>
      <w:bookmarkStart w:id="265" w:name="_Toc319439888"/>
      <w:bookmarkStart w:id="266" w:name="_Toc308084585"/>
      <w:bookmarkStart w:id="267" w:name="_Toc217446044"/>
      <w:bookmarkStart w:id="268" w:name="_Toc15145"/>
      <w:bookmarkStart w:id="269" w:name="_Toc319440130"/>
      <w:bookmarkStart w:id="270" w:name="_Toc2379"/>
      <w:bookmarkStart w:id="271" w:name="_Toc17444"/>
      <w:bookmarkStart w:id="272" w:name="_Toc307564840"/>
      <w:bookmarkStart w:id="273" w:name="_Toc20188"/>
      <w:bookmarkStart w:id="274" w:name="_Toc327196274"/>
      <w:bookmarkStart w:id="275" w:name="_Toc307501097"/>
      <w:bookmarkStart w:id="276" w:name="_Toc15226"/>
      <w:bookmarkStart w:id="277" w:name="_Toc12195"/>
      <w:bookmarkStart w:id="278" w:name="_Toc309897503"/>
      <w:bookmarkStart w:id="279" w:name="_Toc183582216"/>
      <w:bookmarkStart w:id="280" w:name="_Toc183682353"/>
      <w:bookmarkStart w:id="281" w:name="_Toc20091"/>
      <w:bookmarkStart w:id="282" w:name="_Toc11901"/>
      <w:bookmarkStart w:id="283" w:name="_Toc308188140"/>
      <w:bookmarkStart w:id="284" w:name="_Toc24770"/>
      <w:bookmarkStart w:id="285" w:name="_Toc10594"/>
      <w:bookmarkStart w:id="286" w:name="_Toc18700"/>
      <w:bookmarkStart w:id="287" w:name="_Toc12658"/>
      <w:r>
        <w:rPr>
          <w:rFonts w:hint="eastAsia" w:cs="宋体"/>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s="宋体"/>
          <w:highlight w:val="none"/>
        </w:rPr>
        <w:t>(实质性要求)</w:t>
      </w:r>
      <w:bookmarkEnd w:id="284"/>
      <w:bookmarkEnd w:id="285"/>
      <w:bookmarkEnd w:id="286"/>
      <w:bookmarkEnd w:id="287"/>
    </w:p>
    <w:p>
      <w:pPr>
        <w:pStyle w:val="33"/>
        <w:rPr>
          <w:rFonts w:cs="宋体"/>
          <w:highlight w:val="none"/>
        </w:rPr>
      </w:pPr>
      <w:r>
        <w:rPr>
          <w:rFonts w:hint="eastAsia" w:cs="宋体"/>
          <w:highlight w:val="none"/>
        </w:rPr>
        <w:t>除技术规格及要求中另有规定外，本采购项下的投标均采用国家法定的计量单位。</w:t>
      </w:r>
    </w:p>
    <w:p>
      <w:pPr>
        <w:pStyle w:val="31"/>
        <w:ind w:firstLine="482"/>
        <w:rPr>
          <w:rFonts w:cs="宋体"/>
          <w:highlight w:val="none"/>
        </w:rPr>
      </w:pPr>
      <w:bookmarkStart w:id="288" w:name="_Toc308188141"/>
      <w:bookmarkStart w:id="289" w:name="_Toc308084586"/>
      <w:bookmarkStart w:id="290" w:name="_Toc16798"/>
      <w:bookmarkStart w:id="291" w:name="_Toc8803"/>
      <w:bookmarkStart w:id="292" w:name="_Toc319440131"/>
      <w:bookmarkStart w:id="293" w:name="_Toc698"/>
      <w:bookmarkStart w:id="294" w:name="_Toc24761"/>
      <w:bookmarkStart w:id="295" w:name="_Toc319439889"/>
      <w:bookmarkStart w:id="296" w:name="_Toc8881"/>
      <w:bookmarkStart w:id="297" w:name="_Toc327196275"/>
      <w:bookmarkStart w:id="298" w:name="_Toc25216"/>
      <w:bookmarkStart w:id="299" w:name="_Toc307564841"/>
      <w:bookmarkStart w:id="300" w:name="_Toc309897504"/>
      <w:bookmarkStart w:id="301" w:name="_Toc15435"/>
      <w:bookmarkStart w:id="302" w:name="_Toc22739"/>
      <w:bookmarkStart w:id="303" w:name="_Toc217446045"/>
      <w:bookmarkStart w:id="304" w:name="_Toc307501098"/>
      <w:bookmarkStart w:id="305" w:name="_Toc20780"/>
      <w:bookmarkStart w:id="306" w:name="_Toc19960"/>
      <w:bookmarkStart w:id="307" w:name="_Toc11633"/>
      <w:bookmarkStart w:id="308" w:name="_Toc5205"/>
      <w:r>
        <w:rPr>
          <w:rFonts w:hint="eastAsia" w:cs="宋体"/>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s="宋体"/>
          <w:highlight w:val="none"/>
        </w:rPr>
        <w:t>(实质性要求)</w:t>
      </w:r>
      <w:bookmarkEnd w:id="305"/>
      <w:bookmarkEnd w:id="306"/>
      <w:bookmarkEnd w:id="307"/>
      <w:bookmarkEnd w:id="308"/>
    </w:p>
    <w:p>
      <w:pPr>
        <w:pStyle w:val="33"/>
        <w:rPr>
          <w:rFonts w:cs="宋体"/>
          <w:highlight w:val="none"/>
        </w:rPr>
      </w:pPr>
      <w:r>
        <w:rPr>
          <w:rFonts w:hint="eastAsia" w:cs="宋体"/>
          <w:highlight w:val="none"/>
        </w:rPr>
        <w:t>本次招标项目的投标均以人民币报价。</w:t>
      </w:r>
    </w:p>
    <w:p>
      <w:pPr>
        <w:pStyle w:val="31"/>
        <w:ind w:firstLine="482"/>
        <w:rPr>
          <w:rFonts w:cs="宋体"/>
          <w:highlight w:val="none"/>
        </w:rPr>
      </w:pPr>
      <w:bookmarkStart w:id="309" w:name="_Toc307501099"/>
      <w:bookmarkStart w:id="310" w:name="_Toc308188142"/>
      <w:bookmarkStart w:id="311" w:name="_Toc217446046"/>
      <w:bookmarkStart w:id="312" w:name="_Toc4336"/>
      <w:bookmarkStart w:id="313" w:name="_Toc21797"/>
      <w:bookmarkStart w:id="314" w:name="_Toc8550"/>
      <w:bookmarkStart w:id="315" w:name="_Toc309897505"/>
      <w:bookmarkStart w:id="316" w:name="_Toc16409"/>
      <w:bookmarkStart w:id="317" w:name="_Toc319440132"/>
      <w:bookmarkStart w:id="318" w:name="_Toc24432"/>
      <w:bookmarkStart w:id="319" w:name="_Toc15074"/>
      <w:bookmarkStart w:id="320" w:name="_Toc25923"/>
      <w:bookmarkStart w:id="321" w:name="_Toc319439890"/>
      <w:bookmarkStart w:id="322" w:name="_Toc327196276"/>
      <w:bookmarkStart w:id="323" w:name="_Toc308084587"/>
      <w:bookmarkStart w:id="324" w:name="_Toc32108"/>
      <w:bookmarkStart w:id="325" w:name="_Toc21894"/>
      <w:bookmarkStart w:id="326" w:name="_Toc25266"/>
      <w:bookmarkStart w:id="327" w:name="_Toc32667"/>
      <w:bookmarkStart w:id="328" w:name="_Toc7935"/>
      <w:bookmarkStart w:id="329" w:name="_Toc307564842"/>
      <w:bookmarkStart w:id="330" w:name="_Toc25780"/>
      <w:bookmarkStart w:id="331" w:name="_Toc10974"/>
      <w:bookmarkStart w:id="332" w:name="_Toc2050"/>
      <w:bookmarkStart w:id="333" w:name="_Toc27877"/>
      <w:bookmarkStart w:id="334" w:name="_Toc307501100"/>
      <w:bookmarkStart w:id="335" w:name="_Toc18912"/>
      <w:bookmarkStart w:id="336" w:name="_Toc309897506"/>
      <w:bookmarkStart w:id="337" w:name="_Toc308188143"/>
      <w:bookmarkStart w:id="338" w:name="_Toc217446047"/>
      <w:bookmarkStart w:id="339" w:name="_Toc13754"/>
      <w:bookmarkStart w:id="340" w:name="_Toc319440133"/>
      <w:bookmarkStart w:id="341" w:name="_Toc3781"/>
      <w:bookmarkStart w:id="342" w:name="_Toc307564843"/>
      <w:bookmarkStart w:id="343" w:name="_Toc30958"/>
      <w:bookmarkStart w:id="344" w:name="_Toc319439891"/>
      <w:bookmarkStart w:id="345" w:name="_Toc7819"/>
      <w:bookmarkStart w:id="346" w:name="_Toc308084588"/>
      <w:bookmarkStart w:id="347" w:name="_Toc327196277"/>
      <w:bookmarkStart w:id="348" w:name="_Toc15468"/>
      <w:bookmarkStart w:id="349" w:name="_Toc9626"/>
      <w:r>
        <w:rPr>
          <w:rFonts w:hint="eastAsia" w:cs="宋体"/>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s="宋体"/>
          <w:highlight w:val="none"/>
        </w:rPr>
        <w:t>(实质性要求)</w:t>
      </w:r>
      <w:bookmarkEnd w:id="330"/>
    </w:p>
    <w:p>
      <w:pPr>
        <w:pStyle w:val="29"/>
        <w:ind w:firstLine="480" w:firstLineChars="200"/>
        <w:rPr>
          <w:rFonts w:cs="宋体"/>
          <w:highlight w:val="none"/>
        </w:rPr>
      </w:pPr>
      <w:r>
        <w:rPr>
          <w:rFonts w:hint="eastAsia" w:cs="宋体"/>
          <w:highlight w:val="none"/>
        </w:rPr>
        <w:t>本项目不接受联合体投标。</w:t>
      </w:r>
    </w:p>
    <w:p>
      <w:pPr>
        <w:pStyle w:val="31"/>
        <w:ind w:firstLine="482"/>
        <w:rPr>
          <w:rFonts w:cs="宋体"/>
          <w:highlight w:val="none"/>
        </w:rPr>
      </w:pPr>
      <w:bookmarkStart w:id="350" w:name="_Toc643"/>
      <w:bookmarkStart w:id="351" w:name="_Toc30421"/>
      <w:r>
        <w:rPr>
          <w:rFonts w:hint="eastAsia" w:cs="宋体"/>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s="宋体"/>
          <w:highlight w:val="none"/>
        </w:rPr>
        <w:t>(实质性要求)</w:t>
      </w:r>
      <w:bookmarkEnd w:id="348"/>
      <w:bookmarkEnd w:id="349"/>
      <w:bookmarkEnd w:id="350"/>
      <w:bookmarkEnd w:id="351"/>
    </w:p>
    <w:p>
      <w:pPr>
        <w:pStyle w:val="32"/>
        <w:ind w:firstLine="480"/>
        <w:rPr>
          <w:rFonts w:cs="宋体"/>
          <w:highlight w:val="none"/>
        </w:rPr>
      </w:pPr>
      <w:bookmarkStart w:id="352" w:name="_Toc307501101"/>
      <w:bookmarkStart w:id="353" w:name="_Toc307564844"/>
      <w:bookmarkStart w:id="354" w:name="_Toc327196278"/>
      <w:bookmarkStart w:id="355" w:name="_Toc183682354"/>
      <w:bookmarkStart w:id="356" w:name="_Toc16281"/>
      <w:bookmarkStart w:id="357" w:name="_Toc217446048"/>
      <w:bookmarkStart w:id="358" w:name="_Toc2706"/>
      <w:bookmarkStart w:id="359" w:name="_Toc319439892"/>
      <w:bookmarkStart w:id="360" w:name="_Toc1140"/>
      <w:bookmarkStart w:id="361" w:name="_Toc7660"/>
      <w:bookmarkStart w:id="362" w:name="_Toc309897507"/>
      <w:bookmarkStart w:id="363" w:name="_Toc319440134"/>
      <w:bookmarkStart w:id="364" w:name="_Toc308084589"/>
      <w:bookmarkStart w:id="365" w:name="_Toc10817"/>
      <w:bookmarkStart w:id="366" w:name="_Toc8432"/>
      <w:bookmarkStart w:id="367" w:name="_Toc5369"/>
      <w:bookmarkStart w:id="368" w:name="_Toc30708"/>
      <w:bookmarkStart w:id="369" w:name="_Toc183582217"/>
      <w:bookmarkStart w:id="370" w:name="_Toc11856"/>
      <w:bookmarkStart w:id="371" w:name="_Toc6143"/>
      <w:bookmarkStart w:id="372" w:name="_Toc308188144"/>
      <w:r>
        <w:rPr>
          <w:rFonts w:hint="eastAsia" w:cs="宋体"/>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2"/>
        <w:ind w:firstLine="480"/>
        <w:rPr>
          <w:rFonts w:cs="宋体"/>
          <w:highlight w:val="none"/>
        </w:rPr>
      </w:pPr>
      <w:r>
        <w:rPr>
          <w:rFonts w:hint="eastAsia" w:cs="宋体"/>
          <w:highlight w:val="none"/>
        </w:rPr>
        <w:t>采购人享有本项目实施过程中产生的知识成果及知识产权。</w:t>
      </w:r>
    </w:p>
    <w:p>
      <w:pPr>
        <w:pStyle w:val="32"/>
        <w:ind w:firstLine="480"/>
        <w:rPr>
          <w:rFonts w:cs="宋体"/>
          <w:highlight w:val="none"/>
        </w:rPr>
      </w:pPr>
      <w:r>
        <w:rPr>
          <w:rFonts w:hint="eastAsia" w:cs="宋体"/>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同时需在投标文件中提供声明，并提供相关知识产权证明文件，否则视为投标人未在本项目实施过程中采用自有知识成果，不影响有效性。</w:t>
      </w:r>
    </w:p>
    <w:p>
      <w:pPr>
        <w:pStyle w:val="32"/>
        <w:ind w:firstLine="480"/>
        <w:rPr>
          <w:rFonts w:cs="宋体"/>
          <w:highlight w:val="none"/>
        </w:rPr>
      </w:pPr>
      <w:r>
        <w:rPr>
          <w:rFonts w:hint="eastAsia" w:cs="宋体"/>
          <w:highlight w:val="none"/>
        </w:rPr>
        <w:t xml:space="preserve">如采用投标人所不拥有的知识产权，则在投标报价中必须包括合法获取该知识产权的相关费用。 </w:t>
      </w:r>
    </w:p>
    <w:p>
      <w:pPr>
        <w:pStyle w:val="32"/>
        <w:ind w:firstLine="480"/>
        <w:rPr>
          <w:rFonts w:cs="宋体"/>
          <w:highlight w:val="none"/>
        </w:rPr>
      </w:pPr>
      <w:r>
        <w:rPr>
          <w:rFonts w:hint="eastAsia" w:cs="宋体"/>
          <w:highlight w:val="none"/>
        </w:rPr>
        <w:t>如采购项目涉及知识产权时按照此条要求执行，并在评审时作实质性审查。</w:t>
      </w:r>
    </w:p>
    <w:p>
      <w:pPr>
        <w:pStyle w:val="31"/>
        <w:ind w:firstLine="482"/>
        <w:rPr>
          <w:rFonts w:cs="宋体"/>
          <w:highlight w:val="none"/>
        </w:rPr>
      </w:pPr>
      <w:bookmarkStart w:id="373" w:name="_Toc19390"/>
      <w:bookmarkStart w:id="374" w:name="_Toc28370"/>
      <w:r>
        <w:rPr>
          <w:rFonts w:hint="eastAsia" w:cs="宋体"/>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3"/>
        <w:rPr>
          <w:rFonts w:cs="宋体"/>
          <w:highlight w:val="none"/>
        </w:rPr>
      </w:pPr>
      <w:bookmarkStart w:id="375" w:name="_Toc183682355"/>
      <w:bookmarkStart w:id="376" w:name="_Toc307501102"/>
      <w:bookmarkStart w:id="377" w:name="_Toc217446049"/>
      <w:bookmarkStart w:id="378" w:name="_Toc183582218"/>
      <w:r>
        <w:rPr>
          <w:rFonts w:hint="eastAsia" w:cs="宋体"/>
          <w:highlight w:val="none"/>
        </w:rPr>
        <w:t>投标人应按照招标文件的规定和要求编制投标文件，否则视为无效投标。投标人编写的投标文件应包括以下两部分：</w:t>
      </w:r>
    </w:p>
    <w:p>
      <w:pPr>
        <w:pStyle w:val="32"/>
        <w:ind w:firstLine="480"/>
        <w:rPr>
          <w:rFonts w:cs="宋体"/>
          <w:highlight w:val="none"/>
        </w:rPr>
      </w:pPr>
      <w:r>
        <w:rPr>
          <w:rFonts w:hint="eastAsia" w:cs="宋体"/>
          <w:highlight w:val="none"/>
        </w:rPr>
        <w:t>第一部分：资格、资质性及其他类似效力投标文件(用于资格审查)</w:t>
      </w:r>
    </w:p>
    <w:p>
      <w:pPr>
        <w:pStyle w:val="33"/>
        <w:rPr>
          <w:rFonts w:cs="宋体"/>
          <w:highlight w:val="none"/>
        </w:rPr>
      </w:pPr>
      <w:r>
        <w:rPr>
          <w:rFonts w:hint="eastAsia" w:cs="宋体"/>
          <w:highlight w:val="none"/>
        </w:rPr>
        <w:t>按照招标文件第四、五章要求提供相关资格、资质性及其他类似效力要求的相关证明材料。</w:t>
      </w:r>
    </w:p>
    <w:p>
      <w:pPr>
        <w:pStyle w:val="32"/>
        <w:ind w:firstLine="480"/>
        <w:rPr>
          <w:rFonts w:cs="宋体"/>
          <w:highlight w:val="none"/>
        </w:rPr>
      </w:pPr>
      <w:r>
        <w:rPr>
          <w:rFonts w:hint="eastAsia" w:cs="宋体"/>
          <w:highlight w:val="none"/>
        </w:rPr>
        <w:t>第二部分：其它投标文件(用于资格审查以外的评标)</w:t>
      </w:r>
    </w:p>
    <w:p>
      <w:pPr>
        <w:pStyle w:val="33"/>
        <w:rPr>
          <w:rFonts w:cs="宋体"/>
          <w:highlight w:val="none"/>
        </w:rPr>
      </w:pPr>
      <w:r>
        <w:rPr>
          <w:rFonts w:hint="eastAsia" w:cs="宋体"/>
          <w:highlight w:val="none"/>
        </w:rPr>
        <w:t>按照招标文件要求提供以下相关材料：</w:t>
      </w:r>
    </w:p>
    <w:p>
      <w:pPr>
        <w:numPr>
          <w:ilvl w:val="4"/>
          <w:numId w:val="2"/>
        </w:numPr>
        <w:wordWrap w:val="0"/>
        <w:topLinePunct/>
        <w:ind w:firstLine="482" w:firstLineChars="200"/>
        <w:rPr>
          <w:b/>
          <w:bCs/>
          <w:highlight w:val="none"/>
        </w:rPr>
      </w:pPr>
      <w:r>
        <w:rPr>
          <w:rFonts w:hint="eastAsia"/>
          <w:b/>
          <w:bCs/>
          <w:highlight w:val="none"/>
        </w:rPr>
        <w:t xml:space="preserve"> 报价部分</w:t>
      </w:r>
      <w:r>
        <w:rPr>
          <w:rFonts w:hint="eastAsia"/>
          <w:b/>
          <w:bCs/>
          <w:highlight w:val="none"/>
          <w:lang w:val="zh-CN"/>
        </w:rPr>
        <w:t>(实质性要求)</w:t>
      </w:r>
    </w:p>
    <w:p>
      <w:pPr>
        <w:numPr>
          <w:ilvl w:val="3"/>
          <w:numId w:val="0"/>
        </w:numPr>
        <w:ind w:firstLine="480" w:firstLineChars="200"/>
        <w:rPr>
          <w:highlight w:val="none"/>
        </w:rPr>
      </w:pPr>
      <w:r>
        <w:rPr>
          <w:rFonts w:hint="eastAsia"/>
          <w:highlight w:val="none"/>
        </w:rPr>
        <w:t>投标人按照以下要求填写的“开标一览表”。本次招标报价要求：</w:t>
      </w:r>
    </w:p>
    <w:p>
      <w:pPr>
        <w:numPr>
          <w:ilvl w:val="5"/>
          <w:numId w:val="2"/>
        </w:numPr>
        <w:wordWrap w:val="0"/>
        <w:topLinePunct/>
        <w:ind w:firstLine="480" w:firstLineChars="200"/>
        <w:rPr>
          <w:highlight w:val="none"/>
        </w:rPr>
      </w:pPr>
      <w:r>
        <w:rPr>
          <w:rFonts w:hint="eastAsia"/>
          <w:highlight w:val="none"/>
        </w:rPr>
        <w:t>投标人的报价是投标人响应招标项目要求的全部采购内容的价格体现，包括完成本项目所涉及的一切费用。</w:t>
      </w:r>
    </w:p>
    <w:p>
      <w:pPr>
        <w:numPr>
          <w:ilvl w:val="5"/>
          <w:numId w:val="2"/>
        </w:numPr>
        <w:wordWrap w:val="0"/>
        <w:topLinePunct/>
        <w:ind w:firstLine="480" w:firstLineChars="200"/>
        <w:rPr>
          <w:highlight w:val="none"/>
        </w:rPr>
      </w:pPr>
      <w:r>
        <w:rPr>
          <w:rFonts w:hint="eastAsia"/>
          <w:highlight w:val="none"/>
        </w:rPr>
        <w:t>投标人只允许有一个报价，并且在合同履行过程中是固定不变的，任何有选择或可调整的报价将不予接受，并按无效投标处理。</w:t>
      </w:r>
    </w:p>
    <w:p>
      <w:pPr>
        <w:numPr>
          <w:ilvl w:val="4"/>
          <w:numId w:val="2"/>
        </w:numPr>
        <w:wordWrap w:val="0"/>
        <w:topLinePunct/>
        <w:ind w:firstLine="482" w:firstLineChars="200"/>
        <w:rPr>
          <w:b/>
          <w:bCs/>
          <w:highlight w:val="none"/>
          <w:lang w:val="zh-CN"/>
        </w:rPr>
      </w:pPr>
      <w:r>
        <w:rPr>
          <w:rFonts w:hint="eastAsia"/>
          <w:b/>
          <w:bCs/>
          <w:highlight w:val="none"/>
        </w:rPr>
        <w:t xml:space="preserve"> 技术</w:t>
      </w:r>
      <w:r>
        <w:rPr>
          <w:rFonts w:hint="eastAsia"/>
          <w:b/>
          <w:bCs/>
          <w:highlight w:val="none"/>
          <w:lang w:val="zh-CN"/>
        </w:rPr>
        <w:t>部分</w:t>
      </w:r>
    </w:p>
    <w:p>
      <w:pPr>
        <w:wordWrap w:val="0"/>
        <w:topLinePunct/>
        <w:ind w:firstLine="480" w:firstLineChars="200"/>
        <w:rPr>
          <w:highlight w:val="none"/>
          <w:lang w:val="zh-CN"/>
        </w:rPr>
      </w:pPr>
      <w:r>
        <w:rPr>
          <w:rFonts w:hint="eastAsia"/>
          <w:highlight w:val="none"/>
          <w:lang w:val="zh-CN"/>
        </w:rPr>
        <w:t>投标人按照招标文件要求做出的</w:t>
      </w:r>
      <w:r>
        <w:rPr>
          <w:rFonts w:hint="eastAsia"/>
          <w:highlight w:val="none"/>
        </w:rPr>
        <w:t>技术</w:t>
      </w:r>
      <w:r>
        <w:rPr>
          <w:rFonts w:hint="eastAsia"/>
          <w:highlight w:val="none"/>
          <w:lang w:val="zh-CN"/>
        </w:rPr>
        <w:t>应答，主要是针对招标项目的</w:t>
      </w:r>
      <w:r>
        <w:rPr>
          <w:rFonts w:hint="eastAsia"/>
          <w:highlight w:val="none"/>
        </w:rPr>
        <w:t>技术</w:t>
      </w:r>
      <w:r>
        <w:rPr>
          <w:rFonts w:hint="eastAsia"/>
          <w:highlight w:val="none"/>
          <w:lang w:val="zh-CN"/>
        </w:rPr>
        <w:t>要求做出的实质性响应和满足。投标人的</w:t>
      </w:r>
      <w:r>
        <w:rPr>
          <w:rFonts w:hint="eastAsia"/>
          <w:highlight w:val="none"/>
        </w:rPr>
        <w:t>技术应答应尽可能</w:t>
      </w:r>
      <w:r>
        <w:rPr>
          <w:rFonts w:hint="eastAsia"/>
          <w:highlight w:val="none"/>
          <w:lang w:val="zh-CN"/>
        </w:rPr>
        <w:t>包括下列内容：</w:t>
      </w:r>
    </w:p>
    <w:p>
      <w:pPr>
        <w:numPr>
          <w:ilvl w:val="5"/>
          <w:numId w:val="2"/>
        </w:numPr>
        <w:wordWrap w:val="0"/>
        <w:topLinePunct/>
        <w:ind w:firstLine="480" w:firstLineChars="200"/>
        <w:rPr>
          <w:highlight w:val="none"/>
        </w:rPr>
      </w:pPr>
      <w:r>
        <w:rPr>
          <w:rFonts w:hint="eastAsia"/>
          <w:highlight w:val="none"/>
        </w:rPr>
        <w:t>投标产品的品牌、规格、型号、产地、配置；</w:t>
      </w:r>
    </w:p>
    <w:p>
      <w:pPr>
        <w:numPr>
          <w:ilvl w:val="5"/>
          <w:numId w:val="2"/>
        </w:numPr>
        <w:wordWrap w:val="0"/>
        <w:topLinePunct/>
        <w:ind w:firstLine="480" w:firstLineChars="200"/>
        <w:rPr>
          <w:highlight w:val="none"/>
        </w:rPr>
      </w:pPr>
      <w:r>
        <w:rPr>
          <w:rFonts w:hint="eastAsia"/>
          <w:highlight w:val="none"/>
        </w:rPr>
        <w:t>投标产品本身的详细的技术指标和参数(应当尽可能提供检测报告、产品使用说明书、用户手册等材料予以佐证)；</w:t>
      </w:r>
    </w:p>
    <w:p>
      <w:pPr>
        <w:numPr>
          <w:ilvl w:val="5"/>
          <w:numId w:val="2"/>
        </w:numPr>
        <w:wordWrap w:val="0"/>
        <w:topLinePunct/>
        <w:ind w:firstLine="480" w:firstLineChars="200"/>
        <w:rPr>
          <w:highlight w:val="none"/>
        </w:rPr>
      </w:pPr>
      <w:r>
        <w:rPr>
          <w:rFonts w:hint="eastAsia"/>
          <w:highlight w:val="none"/>
        </w:rPr>
        <w:t>投标产品技术参数应答表；</w:t>
      </w:r>
    </w:p>
    <w:p>
      <w:pPr>
        <w:numPr>
          <w:ilvl w:val="5"/>
          <w:numId w:val="2"/>
        </w:numPr>
        <w:wordWrap w:val="0"/>
        <w:topLinePunct/>
        <w:ind w:firstLine="480" w:firstLineChars="200"/>
        <w:rPr>
          <w:highlight w:val="none"/>
        </w:rPr>
      </w:pPr>
      <w:r>
        <w:rPr>
          <w:rFonts w:hint="eastAsia"/>
          <w:highlight w:val="none"/>
        </w:rPr>
        <w:t>产品彩页资料(如涉及需经过有关部门广告审核)；</w:t>
      </w:r>
    </w:p>
    <w:p>
      <w:pPr>
        <w:numPr>
          <w:ilvl w:val="5"/>
          <w:numId w:val="2"/>
        </w:numPr>
        <w:wordWrap w:val="0"/>
        <w:topLinePunct/>
        <w:ind w:firstLine="480" w:firstLineChars="200"/>
        <w:rPr>
          <w:highlight w:val="none"/>
        </w:rPr>
      </w:pPr>
      <w:r>
        <w:rPr>
          <w:rFonts w:hint="eastAsia"/>
          <w:highlight w:val="none"/>
        </w:rPr>
        <w:t>产品验收标准和验收方法；</w:t>
      </w:r>
    </w:p>
    <w:p>
      <w:pPr>
        <w:numPr>
          <w:ilvl w:val="5"/>
          <w:numId w:val="2"/>
        </w:numPr>
        <w:wordWrap w:val="0"/>
        <w:topLinePunct/>
        <w:ind w:firstLine="480" w:firstLineChars="200"/>
        <w:rPr>
          <w:highlight w:val="none"/>
        </w:rPr>
      </w:pPr>
      <w:r>
        <w:rPr>
          <w:rFonts w:hint="eastAsia"/>
          <w:highlight w:val="none"/>
        </w:rPr>
        <w:t>产品验收清单(注明各部件的品名、数量、价格、规格型号和原产地或生产厂家)；</w:t>
      </w:r>
    </w:p>
    <w:p>
      <w:pPr>
        <w:numPr>
          <w:ilvl w:val="5"/>
          <w:numId w:val="2"/>
        </w:numPr>
        <w:wordWrap w:val="0"/>
        <w:topLinePunct/>
        <w:ind w:firstLine="480" w:firstLineChars="200"/>
        <w:rPr>
          <w:highlight w:val="none"/>
        </w:rPr>
      </w:pPr>
      <w:r>
        <w:rPr>
          <w:rFonts w:hint="eastAsia"/>
          <w:highlight w:val="none"/>
        </w:rPr>
        <w:t>投标人认为需要提供的文件和资料。</w:t>
      </w:r>
    </w:p>
    <w:p>
      <w:pPr>
        <w:numPr>
          <w:ilvl w:val="4"/>
          <w:numId w:val="2"/>
        </w:numPr>
        <w:wordWrap w:val="0"/>
        <w:topLinePunct/>
        <w:ind w:firstLine="482" w:firstLineChars="200"/>
        <w:rPr>
          <w:b/>
          <w:bCs/>
          <w:highlight w:val="none"/>
        </w:rPr>
      </w:pPr>
      <w:r>
        <w:rPr>
          <w:rFonts w:hint="eastAsia"/>
          <w:b/>
          <w:bCs/>
          <w:highlight w:val="none"/>
        </w:rPr>
        <w:t xml:space="preserve"> 商务部分</w:t>
      </w:r>
    </w:p>
    <w:p>
      <w:pPr>
        <w:numPr>
          <w:ilvl w:val="4"/>
          <w:numId w:val="0"/>
        </w:numPr>
        <w:wordWrap w:val="0"/>
        <w:topLinePunct/>
        <w:ind w:firstLine="480" w:firstLineChars="200"/>
        <w:rPr>
          <w:highlight w:val="none"/>
        </w:rPr>
      </w:pPr>
      <w:r>
        <w:rPr>
          <w:rFonts w:hint="eastAsia"/>
          <w:highlight w:val="none"/>
        </w:rPr>
        <w:t>投标人按照招标文件要求提供的有关证明材料；至少应包括但不限于以下内容：</w:t>
      </w:r>
    </w:p>
    <w:p>
      <w:pPr>
        <w:numPr>
          <w:ilvl w:val="5"/>
          <w:numId w:val="2"/>
        </w:numPr>
        <w:wordWrap w:val="0"/>
        <w:topLinePunct/>
        <w:ind w:firstLine="480" w:firstLineChars="200"/>
        <w:rPr>
          <w:highlight w:val="none"/>
        </w:rPr>
      </w:pPr>
      <w:bookmarkStart w:id="379" w:name="_Toc148505258"/>
      <w:bookmarkStart w:id="380" w:name="_Toc310410799"/>
      <w:bookmarkStart w:id="381" w:name="_Toc177972289"/>
      <w:bookmarkStart w:id="382" w:name="_Toc177972975"/>
      <w:bookmarkStart w:id="383" w:name="_Toc310412059"/>
      <w:bookmarkStart w:id="384" w:name="_Toc338418069"/>
      <w:bookmarkStart w:id="385" w:name="_Toc310411990"/>
      <w:r>
        <w:rPr>
          <w:rFonts w:hint="eastAsia"/>
          <w:highlight w:val="none"/>
        </w:rPr>
        <w:t>投标函；</w:t>
      </w:r>
    </w:p>
    <w:p>
      <w:pPr>
        <w:numPr>
          <w:ilvl w:val="5"/>
          <w:numId w:val="2"/>
        </w:numPr>
        <w:wordWrap w:val="0"/>
        <w:topLinePunct/>
        <w:ind w:firstLine="480" w:firstLineChars="200"/>
        <w:rPr>
          <w:highlight w:val="none"/>
        </w:rPr>
      </w:pPr>
      <w:r>
        <w:rPr>
          <w:rFonts w:hint="eastAsia"/>
          <w:highlight w:val="none"/>
        </w:rPr>
        <w:t>投标人基本情况表；</w:t>
      </w:r>
    </w:p>
    <w:p>
      <w:pPr>
        <w:numPr>
          <w:ilvl w:val="5"/>
          <w:numId w:val="2"/>
        </w:numPr>
        <w:wordWrap w:val="0"/>
        <w:topLinePunct/>
        <w:ind w:firstLine="480" w:firstLineChars="200"/>
        <w:rPr>
          <w:highlight w:val="none"/>
        </w:rPr>
      </w:pPr>
      <w:r>
        <w:rPr>
          <w:rFonts w:hint="eastAsia"/>
          <w:highlight w:val="none"/>
        </w:rPr>
        <w:t>商务应答表；</w:t>
      </w:r>
    </w:p>
    <w:p>
      <w:pPr>
        <w:numPr>
          <w:ilvl w:val="5"/>
          <w:numId w:val="2"/>
        </w:numPr>
        <w:wordWrap w:val="0"/>
        <w:topLinePunct/>
        <w:ind w:firstLine="480" w:firstLineChars="200"/>
        <w:rPr>
          <w:highlight w:val="none"/>
        </w:rPr>
      </w:pPr>
      <w:r>
        <w:rPr>
          <w:rFonts w:hint="eastAsia"/>
          <w:highlight w:val="none"/>
        </w:rPr>
        <w:t>招标代理服务费承诺函；</w:t>
      </w:r>
    </w:p>
    <w:p>
      <w:pPr>
        <w:numPr>
          <w:ilvl w:val="5"/>
          <w:numId w:val="2"/>
        </w:numPr>
        <w:wordWrap w:val="0"/>
        <w:topLinePunct/>
        <w:ind w:firstLine="480" w:firstLineChars="200"/>
        <w:rPr>
          <w:highlight w:val="none"/>
        </w:rPr>
      </w:pPr>
      <w:r>
        <w:rPr>
          <w:rFonts w:hint="eastAsia"/>
          <w:highlight w:val="none"/>
        </w:rPr>
        <w:t>投标人认为应当提供的其他证明材料；</w:t>
      </w:r>
    </w:p>
    <w:p>
      <w:pPr>
        <w:numPr>
          <w:ilvl w:val="5"/>
          <w:numId w:val="2"/>
        </w:numPr>
        <w:wordWrap w:val="0"/>
        <w:topLinePunct/>
        <w:ind w:firstLine="480" w:firstLineChars="200"/>
        <w:rPr>
          <w:highlight w:val="none"/>
        </w:rPr>
      </w:pPr>
      <w:r>
        <w:rPr>
          <w:rFonts w:hint="eastAsia"/>
          <w:highlight w:val="none"/>
        </w:rPr>
        <w:t>招标文件规定的其他商务要求。</w:t>
      </w:r>
    </w:p>
    <w:bookmarkEnd w:id="379"/>
    <w:bookmarkEnd w:id="380"/>
    <w:bookmarkEnd w:id="381"/>
    <w:bookmarkEnd w:id="382"/>
    <w:bookmarkEnd w:id="383"/>
    <w:bookmarkEnd w:id="384"/>
    <w:bookmarkEnd w:id="385"/>
    <w:p>
      <w:pPr>
        <w:numPr>
          <w:ilvl w:val="4"/>
          <w:numId w:val="2"/>
        </w:numPr>
        <w:wordWrap w:val="0"/>
        <w:topLinePunct/>
        <w:ind w:firstLine="482" w:firstLineChars="200"/>
        <w:rPr>
          <w:b/>
          <w:bCs/>
          <w:highlight w:val="none"/>
        </w:rPr>
      </w:pPr>
      <w:r>
        <w:rPr>
          <w:rFonts w:hint="eastAsia"/>
          <w:b/>
          <w:bCs/>
          <w:highlight w:val="none"/>
        </w:rPr>
        <w:t xml:space="preserve"> 售后服务</w:t>
      </w:r>
    </w:p>
    <w:p>
      <w:pPr>
        <w:wordWrap w:val="0"/>
        <w:topLinePunct/>
        <w:ind w:firstLine="480" w:firstLineChars="200"/>
        <w:rPr>
          <w:highlight w:val="none"/>
        </w:rPr>
      </w:pPr>
      <w:r>
        <w:rPr>
          <w:rFonts w:hint="eastAsia"/>
          <w:highlight w:val="none"/>
        </w:rPr>
        <w:t>投标人按照招标文件中售后服务要求作出的积极响应和承诺。</w:t>
      </w:r>
    </w:p>
    <w:p>
      <w:pPr>
        <w:numPr>
          <w:ilvl w:val="4"/>
          <w:numId w:val="2"/>
        </w:numPr>
        <w:wordWrap w:val="0"/>
        <w:topLinePunct/>
        <w:ind w:firstLine="482" w:firstLineChars="200"/>
        <w:rPr>
          <w:b/>
          <w:bCs/>
          <w:highlight w:val="none"/>
        </w:rPr>
      </w:pPr>
      <w:r>
        <w:rPr>
          <w:rFonts w:hint="eastAsia"/>
          <w:b/>
          <w:bCs/>
          <w:highlight w:val="none"/>
        </w:rPr>
        <w:t xml:space="preserve"> 其他部分</w:t>
      </w:r>
    </w:p>
    <w:p>
      <w:pPr>
        <w:pStyle w:val="33"/>
        <w:rPr>
          <w:rFonts w:cs="宋体"/>
          <w:highlight w:val="none"/>
        </w:rPr>
      </w:pPr>
      <w:r>
        <w:rPr>
          <w:rFonts w:hint="eastAsia"/>
          <w:highlight w:val="none"/>
        </w:rPr>
        <w:t>投标人按照招标文件要求作出的其他应答和承诺。</w:t>
      </w:r>
    </w:p>
    <w:p>
      <w:pPr>
        <w:pStyle w:val="53"/>
        <w:ind w:firstLine="482"/>
        <w:rPr>
          <w:rFonts w:cs="宋体"/>
          <w:highlight w:val="none"/>
        </w:rPr>
      </w:pPr>
      <w:r>
        <w:rPr>
          <w:rFonts w:hint="eastAsia" w:cs="宋体"/>
          <w:highlight w:val="none"/>
        </w:rPr>
        <w:t>注：以上1、2要求提供的证明材料均需加盖投标人电子签章，若未加盖投标人电子签章的，则该证明材料涉及的评分项不予评分，涉及资格条件或实质性要求的评审项按未通过处理。</w:t>
      </w:r>
    </w:p>
    <w:p>
      <w:pPr>
        <w:pStyle w:val="33"/>
        <w:ind w:firstLine="482"/>
        <w:rPr>
          <w:rFonts w:cs="宋体"/>
          <w:b/>
          <w:bCs/>
          <w:highlight w:val="none"/>
        </w:rPr>
      </w:pPr>
      <w:r>
        <w:rPr>
          <w:rFonts w:hint="eastAsia" w:cs="宋体"/>
          <w:b/>
          <w:bCs/>
          <w:highlight w:val="none"/>
        </w:rPr>
        <w:t>若综合评分明细表和技术参数中需要提供的证明材料上述未提及，投标人根据综合评分明细表和技术参数提供相关的证明材料。</w:t>
      </w:r>
    </w:p>
    <w:p>
      <w:pPr>
        <w:pStyle w:val="31"/>
        <w:ind w:firstLine="482"/>
        <w:rPr>
          <w:rFonts w:cs="宋体"/>
          <w:highlight w:val="none"/>
        </w:rPr>
      </w:pPr>
      <w:bookmarkStart w:id="386" w:name="_Toc319439893"/>
      <w:bookmarkStart w:id="387" w:name="_Toc6789"/>
      <w:bookmarkStart w:id="388" w:name="_Toc15763"/>
      <w:bookmarkStart w:id="389" w:name="_Toc307564845"/>
      <w:bookmarkStart w:id="390" w:name="_Toc31136"/>
      <w:bookmarkStart w:id="391" w:name="_Toc4288"/>
      <w:bookmarkStart w:id="392" w:name="_Toc327196279"/>
      <w:bookmarkStart w:id="393" w:name="_Toc319440135"/>
      <w:bookmarkStart w:id="394" w:name="_Toc22980"/>
      <w:bookmarkStart w:id="395" w:name="_Toc308084590"/>
      <w:bookmarkStart w:id="396" w:name="_Toc32103"/>
      <w:bookmarkStart w:id="397" w:name="_Toc31194"/>
      <w:bookmarkStart w:id="398" w:name="_Toc1874"/>
      <w:bookmarkStart w:id="399" w:name="_Toc309897508"/>
      <w:bookmarkStart w:id="400" w:name="_Toc3096"/>
      <w:bookmarkStart w:id="401" w:name="_Toc308188145"/>
      <w:bookmarkStart w:id="402" w:name="_Toc32288"/>
      <w:bookmarkStart w:id="403" w:name="_Toc26967"/>
      <w:bookmarkStart w:id="404" w:name="_Toc23655"/>
      <w:r>
        <w:rPr>
          <w:rFonts w:hint="eastAsia" w:cs="宋体"/>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s="宋体"/>
          <w:highlight w:val="none"/>
        </w:rPr>
        <w:tab/>
      </w:r>
    </w:p>
    <w:p>
      <w:pPr>
        <w:pStyle w:val="32"/>
        <w:ind w:firstLine="480"/>
        <w:rPr>
          <w:rFonts w:cs="宋体"/>
          <w:highlight w:val="none"/>
        </w:rPr>
      </w:pPr>
      <w:r>
        <w:rPr>
          <w:rFonts w:hint="eastAsia" w:cs="宋体"/>
          <w:highlight w:val="none"/>
        </w:rPr>
        <w:t>投标人应按照招标文件第三章中提供的“投标文件格式”填写相关内容。</w:t>
      </w:r>
    </w:p>
    <w:p>
      <w:pPr>
        <w:pStyle w:val="32"/>
        <w:ind w:firstLine="480"/>
        <w:rPr>
          <w:rFonts w:cs="宋体"/>
          <w:highlight w:val="none"/>
        </w:rPr>
      </w:pPr>
      <w:r>
        <w:rPr>
          <w:rFonts w:hint="eastAsia" w:cs="宋体"/>
          <w:highlight w:val="none"/>
        </w:rPr>
        <w:t>对于没有格式要求的由投标人自行编写。</w:t>
      </w:r>
    </w:p>
    <w:p>
      <w:pPr>
        <w:pStyle w:val="31"/>
        <w:ind w:firstLine="482"/>
        <w:rPr>
          <w:rFonts w:cs="宋体"/>
          <w:highlight w:val="none"/>
        </w:rPr>
      </w:pPr>
      <w:bookmarkStart w:id="405" w:name="_Toc29891"/>
      <w:bookmarkStart w:id="406" w:name="_Toc27418"/>
      <w:bookmarkStart w:id="407" w:name="_Toc20642"/>
      <w:bookmarkStart w:id="408" w:name="_Toc308188146"/>
      <w:bookmarkStart w:id="409" w:name="_Toc309897509"/>
      <w:bookmarkStart w:id="410" w:name="_Toc4102"/>
      <w:bookmarkStart w:id="411" w:name="_Toc183582223"/>
      <w:bookmarkStart w:id="412" w:name="_Toc31944"/>
      <w:bookmarkStart w:id="413" w:name="_Toc319439894"/>
      <w:bookmarkStart w:id="414" w:name="_Toc16016"/>
      <w:bookmarkStart w:id="415" w:name="_Toc21884"/>
      <w:bookmarkStart w:id="416" w:name="_Toc14382"/>
      <w:bookmarkStart w:id="417" w:name="_Toc319440136"/>
      <w:bookmarkStart w:id="418" w:name="_Toc307501103"/>
      <w:bookmarkStart w:id="419" w:name="_Toc307564846"/>
      <w:bookmarkStart w:id="420" w:name="_Toc14436"/>
      <w:bookmarkStart w:id="421" w:name="_Toc327196280"/>
      <w:bookmarkStart w:id="422" w:name="_Toc2456"/>
      <w:bookmarkStart w:id="423" w:name="_Toc15744"/>
      <w:bookmarkStart w:id="424" w:name="_Toc183682360"/>
      <w:bookmarkStart w:id="425" w:name="_Toc217446050"/>
      <w:bookmarkStart w:id="426" w:name="_Toc308084591"/>
      <w:bookmarkStart w:id="427" w:name="_Toc21967"/>
      <w:r>
        <w:rPr>
          <w:rFonts w:hint="eastAsia" w:cs="宋体"/>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2"/>
        <w:numPr>
          <w:ilvl w:val="3"/>
          <w:numId w:val="0"/>
        </w:numPr>
        <w:ind w:firstLine="480" w:firstLineChars="200"/>
        <w:rPr>
          <w:rFonts w:cs="宋体"/>
          <w:highlight w:val="none"/>
        </w:rPr>
      </w:pPr>
      <w:bookmarkStart w:id="428" w:name="_Toc13956"/>
      <w:bookmarkStart w:id="429" w:name="_Toc17857"/>
      <w:bookmarkStart w:id="430" w:name="_Toc308084592"/>
      <w:bookmarkStart w:id="431" w:name="_Toc307564847"/>
      <w:bookmarkStart w:id="432" w:name="_Toc307501104"/>
      <w:bookmarkStart w:id="433" w:name="_Toc309897510"/>
      <w:bookmarkStart w:id="434" w:name="_Toc217446051"/>
      <w:bookmarkStart w:id="435" w:name="_Toc21338"/>
      <w:bookmarkStart w:id="436" w:name="_Toc183582224"/>
      <w:bookmarkStart w:id="437" w:name="_Toc31284"/>
      <w:bookmarkStart w:id="438" w:name="_Toc308188147"/>
      <w:bookmarkStart w:id="439" w:name="_Toc183682361"/>
      <w:bookmarkStart w:id="440" w:name="_Toc27589"/>
      <w:bookmarkStart w:id="441" w:name="_Toc319439895"/>
      <w:bookmarkStart w:id="442" w:name="_Toc9356"/>
      <w:bookmarkStart w:id="443" w:name="_Toc319440137"/>
      <w:bookmarkStart w:id="444" w:name="_Toc327196281"/>
      <w:bookmarkStart w:id="445" w:name="_Toc29434"/>
      <w:bookmarkStart w:id="446" w:name="_Toc26011"/>
      <w:r>
        <w:rPr>
          <w:rFonts w:hint="eastAsia" w:cs="宋体"/>
          <w:highlight w:val="none"/>
        </w:rPr>
        <w:t>本项目不收取投标保证金。</w:t>
      </w:r>
    </w:p>
    <w:p>
      <w:pPr>
        <w:pStyle w:val="31"/>
        <w:ind w:firstLine="482"/>
        <w:rPr>
          <w:rFonts w:cs="宋体"/>
          <w:highlight w:val="none"/>
        </w:rPr>
      </w:pPr>
      <w:bookmarkStart w:id="447" w:name="_Toc20243"/>
      <w:bookmarkStart w:id="448" w:name="_Toc30115"/>
      <w:bookmarkStart w:id="449" w:name="_Toc18451"/>
      <w:bookmarkStart w:id="450" w:name="_Toc19115"/>
      <w:r>
        <w:rPr>
          <w:rFonts w:hint="eastAsia" w:cs="宋体"/>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s="宋体"/>
          <w:highlight w:val="none"/>
        </w:rPr>
        <w:t>(实质性要求</w:t>
      </w:r>
      <w:bookmarkEnd w:id="447"/>
      <w:r>
        <w:rPr>
          <w:rFonts w:hint="eastAsia" w:cs="宋体"/>
          <w:highlight w:val="none"/>
        </w:rPr>
        <w:t>)</w:t>
      </w:r>
      <w:bookmarkEnd w:id="448"/>
      <w:bookmarkEnd w:id="449"/>
      <w:bookmarkEnd w:id="450"/>
    </w:p>
    <w:p>
      <w:pPr>
        <w:pStyle w:val="32"/>
        <w:ind w:firstLine="480"/>
        <w:rPr>
          <w:rFonts w:cs="宋体"/>
          <w:highlight w:val="none"/>
        </w:rPr>
      </w:pPr>
      <w:r>
        <w:rPr>
          <w:rFonts w:hint="eastAsia" w:cs="宋体"/>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32"/>
        <w:ind w:firstLine="480"/>
        <w:rPr>
          <w:rFonts w:cs="宋体"/>
          <w:highlight w:val="none"/>
        </w:rPr>
      </w:pPr>
      <w:r>
        <w:rPr>
          <w:rFonts w:hint="eastAsia" w:cs="宋体"/>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2"/>
        <w:ind w:firstLine="480"/>
        <w:rPr>
          <w:rFonts w:cs="宋体"/>
          <w:highlight w:val="none"/>
        </w:rPr>
      </w:pPr>
      <w:r>
        <w:rPr>
          <w:rFonts w:hint="eastAsia" w:cs="宋体"/>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1"/>
        <w:ind w:firstLine="482"/>
        <w:rPr>
          <w:rFonts w:cs="宋体"/>
          <w:highlight w:val="none"/>
        </w:rPr>
      </w:pPr>
      <w:bookmarkStart w:id="451" w:name="_Toc20288"/>
      <w:bookmarkStart w:id="452" w:name="_Toc10616"/>
      <w:bookmarkStart w:id="453" w:name="_Toc28724"/>
      <w:bookmarkStart w:id="454" w:name="_Toc6805"/>
      <w:bookmarkStart w:id="455" w:name="_Toc10555"/>
      <w:bookmarkStart w:id="456" w:name="_Toc23619"/>
      <w:bookmarkStart w:id="457" w:name="_Toc23675"/>
      <w:bookmarkStart w:id="458" w:name="_Toc77400781"/>
      <w:bookmarkStart w:id="459" w:name="_Toc183682363"/>
      <w:bookmarkStart w:id="460" w:name="_Toc27443"/>
      <w:bookmarkStart w:id="461" w:name="_Toc319439897"/>
      <w:bookmarkStart w:id="462" w:name="_Toc319440139"/>
      <w:bookmarkStart w:id="463" w:name="_Toc308188149"/>
      <w:bookmarkStart w:id="464" w:name="_Toc307501106"/>
      <w:bookmarkStart w:id="465" w:name="_Toc19635"/>
      <w:bookmarkStart w:id="466" w:name="_Toc183582226"/>
      <w:bookmarkStart w:id="467" w:name="_Toc217446053"/>
      <w:bookmarkStart w:id="468" w:name="_Toc308084594"/>
      <w:bookmarkStart w:id="469" w:name="_Toc13153"/>
      <w:bookmarkStart w:id="470" w:name="_Toc5019"/>
      <w:bookmarkStart w:id="471" w:name="_Toc17010"/>
      <w:bookmarkStart w:id="472" w:name="_Toc309897512"/>
      <w:bookmarkStart w:id="473" w:name="_Toc16752"/>
      <w:bookmarkStart w:id="474" w:name="_Toc89075877"/>
      <w:bookmarkStart w:id="475" w:name="_Toc307564849"/>
      <w:bookmarkStart w:id="476" w:name="_Toc327196283"/>
      <w:r>
        <w:rPr>
          <w:rFonts w:hint="eastAsia" w:cs="宋体"/>
          <w:highlight w:val="none"/>
        </w:rPr>
        <w:t>投标文件的制作和签章、加密</w:t>
      </w:r>
      <w:bookmarkEnd w:id="451"/>
      <w:bookmarkEnd w:id="452"/>
      <w:bookmarkEnd w:id="453"/>
    </w:p>
    <w:p>
      <w:pPr>
        <w:pStyle w:val="32"/>
        <w:ind w:firstLine="480"/>
        <w:rPr>
          <w:rFonts w:cs="宋体"/>
          <w:highlight w:val="none"/>
        </w:rPr>
      </w:pPr>
      <w:r>
        <w:rPr>
          <w:rFonts w:hint="eastAsia" w:cs="宋体"/>
          <w:highlight w:val="none"/>
        </w:rPr>
        <w:t>投标文件应根据招标文件的要求进行制作，投标文件分《资格、资质性及其他类似效力投标文件》、《其他投标文件》两部分。</w:t>
      </w:r>
    </w:p>
    <w:p>
      <w:pPr>
        <w:pStyle w:val="32"/>
        <w:ind w:firstLine="480"/>
        <w:rPr>
          <w:rFonts w:cs="宋体"/>
          <w:highlight w:val="none"/>
        </w:rPr>
      </w:pPr>
      <w:r>
        <w:rPr>
          <w:rFonts w:hint="eastAsia" w:cs="宋体"/>
          <w:highlight w:val="none"/>
        </w:rPr>
        <w:t>资格、资质性及其他类似效力投标文件用于采购人或采购代理机构对投标人进行资格审查，其他投标文件用于评标委员会评审。</w:t>
      </w:r>
    </w:p>
    <w:p>
      <w:pPr>
        <w:pStyle w:val="32"/>
        <w:ind w:firstLine="480"/>
        <w:rPr>
          <w:rFonts w:cs="宋体"/>
          <w:highlight w:val="none"/>
        </w:rPr>
      </w:pPr>
      <w:r>
        <w:rPr>
          <w:rFonts w:hint="eastAsia" w:cs="宋体"/>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投标文件每页均应加盖投标人(法定名称)电子签章，不得使用投标人专用章(如经济合同章、投标专用章等)或下属单位印章代替</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投标人应使用本企业CA数字证书对投标文件进行加密</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招标文件若有修改，投标人根据修改后的招标文件制作或修改并递交投标文件。</w:t>
      </w:r>
    </w:p>
    <w:p>
      <w:pPr>
        <w:pStyle w:val="32"/>
        <w:ind w:firstLine="480"/>
        <w:rPr>
          <w:rFonts w:cs="宋体"/>
          <w:highlight w:val="none"/>
        </w:rPr>
      </w:pPr>
      <w:r>
        <w:rPr>
          <w:rFonts w:hint="eastAsia" w:cs="宋体"/>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highlight w:val="none"/>
        </w:rPr>
        <w:t>(实质性要求)</w:t>
      </w:r>
      <w:r>
        <w:rPr>
          <w:rFonts w:hint="eastAsia" w:cs="宋体"/>
          <w:highlight w:val="none"/>
        </w:rPr>
        <w:t>。</w:t>
      </w:r>
    </w:p>
    <w:p>
      <w:pPr>
        <w:pStyle w:val="32"/>
        <w:ind w:firstLine="480"/>
        <w:rPr>
          <w:rFonts w:cs="宋体"/>
          <w:highlight w:val="none"/>
        </w:rPr>
      </w:pPr>
      <w:r>
        <w:rPr>
          <w:rFonts w:hint="eastAsia" w:cs="宋体"/>
          <w:highlight w:val="none"/>
        </w:rPr>
        <w:t>招标文件中要求投标人投标时提供的复印件等证明材料须清晰可辨，包含提供原件的影印件或复印件。</w:t>
      </w:r>
    </w:p>
    <w:p>
      <w:pPr>
        <w:pStyle w:val="32"/>
        <w:ind w:firstLine="480"/>
        <w:rPr>
          <w:rFonts w:cs="宋体"/>
          <w:highlight w:val="none"/>
        </w:rPr>
      </w:pPr>
      <w:r>
        <w:rPr>
          <w:rFonts w:hint="eastAsia" w:cs="宋体"/>
          <w:highlight w:val="none"/>
        </w:rPr>
        <w:t>投标文件编制过程中无须提供证明材料的项，上传空白页即可，不对本项上传的材料作相关审查。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31"/>
        <w:ind w:firstLine="482"/>
        <w:rPr>
          <w:rFonts w:cs="宋体"/>
          <w:highlight w:val="none"/>
        </w:rPr>
      </w:pPr>
      <w:bookmarkStart w:id="477" w:name="_Toc183582227"/>
      <w:bookmarkStart w:id="478" w:name="_Toc183682364"/>
      <w:bookmarkStart w:id="479" w:name="_Toc25113"/>
      <w:bookmarkStart w:id="480" w:name="_Toc308084595"/>
      <w:bookmarkStart w:id="481" w:name="_Toc27234"/>
      <w:bookmarkStart w:id="482" w:name="_Toc54"/>
      <w:bookmarkStart w:id="483" w:name="_Toc309897513"/>
      <w:bookmarkStart w:id="484" w:name="_Toc9965"/>
      <w:bookmarkStart w:id="485" w:name="_Toc307501107"/>
      <w:bookmarkStart w:id="486" w:name="_Toc30361"/>
      <w:bookmarkStart w:id="487" w:name="_Toc7231"/>
      <w:bookmarkStart w:id="488" w:name="_Toc307564850"/>
      <w:bookmarkStart w:id="489" w:name="_Toc20273"/>
      <w:bookmarkStart w:id="490" w:name="_Toc217446054"/>
      <w:bookmarkStart w:id="491" w:name="_Toc319440140"/>
      <w:bookmarkStart w:id="492" w:name="_Toc2092"/>
      <w:bookmarkStart w:id="493" w:name="_Toc319439898"/>
      <w:bookmarkStart w:id="494" w:name="_Toc23197"/>
      <w:bookmarkStart w:id="495" w:name="_Toc5768"/>
      <w:bookmarkStart w:id="496" w:name="_Toc327196284"/>
      <w:bookmarkStart w:id="497" w:name="_Toc25947"/>
      <w:bookmarkStart w:id="498" w:name="_Toc19406"/>
      <w:bookmarkStart w:id="499" w:name="_Toc308188150"/>
      <w:r>
        <w:rPr>
          <w:rFonts w:hint="eastAsia" w:cs="宋体"/>
          <w:highlight w:val="none"/>
        </w:rPr>
        <w:t>投标文件的</w:t>
      </w:r>
      <w:bookmarkEnd w:id="477"/>
      <w:bookmarkEnd w:id="478"/>
      <w:r>
        <w:rPr>
          <w:rFonts w:hint="eastAsia" w:cs="宋体"/>
          <w:highlight w:val="none"/>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32"/>
        <w:ind w:firstLine="480"/>
        <w:rPr>
          <w:rFonts w:cs="宋体"/>
          <w:highlight w:val="none"/>
        </w:rPr>
      </w:pPr>
      <w:bookmarkStart w:id="500" w:name="_Toc183582228"/>
      <w:bookmarkStart w:id="501" w:name="_Toc183682365"/>
      <w:bookmarkStart w:id="502" w:name="_Toc3865"/>
      <w:bookmarkStart w:id="503" w:name="_Toc307564851"/>
      <w:bookmarkStart w:id="504" w:name="_Toc26118"/>
      <w:bookmarkStart w:id="505" w:name="_Toc319439899"/>
      <w:bookmarkStart w:id="506" w:name="_Toc4178"/>
      <w:bookmarkStart w:id="507" w:name="_Toc307501108"/>
      <w:bookmarkStart w:id="508" w:name="_Toc23816"/>
      <w:bookmarkStart w:id="509" w:name="_Toc22634"/>
      <w:bookmarkStart w:id="510" w:name="_Toc308188151"/>
      <w:bookmarkStart w:id="511" w:name="_Toc17045"/>
      <w:bookmarkStart w:id="512" w:name="_Toc12138"/>
      <w:bookmarkStart w:id="513" w:name="_Toc7313"/>
      <w:bookmarkStart w:id="514" w:name="_Toc15674"/>
      <w:bookmarkStart w:id="515" w:name="_Toc1451"/>
      <w:bookmarkStart w:id="516" w:name="_Toc327196285"/>
      <w:bookmarkStart w:id="517" w:name="_Toc309897514"/>
      <w:bookmarkStart w:id="518" w:name="_Toc6140"/>
      <w:bookmarkStart w:id="519" w:name="_Toc217446055"/>
      <w:bookmarkStart w:id="520" w:name="_Toc319440141"/>
      <w:bookmarkStart w:id="521" w:name="_Toc308084596"/>
      <w:r>
        <w:rPr>
          <w:rFonts w:hint="eastAsia" w:cs="宋体"/>
          <w:highlight w:val="none"/>
        </w:rPr>
        <w:t>投标人应当在投标文件递交截止时间前，将生成的已加密的电子投标文件成功递交至“政府采购云平台”，上传前须对电子投标文件每页是否都有电子签章等进行核对。</w:t>
      </w:r>
    </w:p>
    <w:p>
      <w:pPr>
        <w:pStyle w:val="32"/>
        <w:ind w:firstLine="480"/>
        <w:rPr>
          <w:rFonts w:cs="宋体"/>
          <w:highlight w:val="none"/>
        </w:rPr>
      </w:pPr>
      <w:r>
        <w:rPr>
          <w:rFonts w:hint="eastAsia" w:cs="宋体"/>
          <w:highlight w:val="none"/>
        </w:rPr>
        <w:t>投标人应充分考虑递交文件的不可预见因素，在投标截止时间后将无法递交。</w:t>
      </w:r>
    </w:p>
    <w:p>
      <w:pPr>
        <w:pStyle w:val="31"/>
        <w:ind w:firstLine="482"/>
        <w:rPr>
          <w:rFonts w:cs="宋体"/>
          <w:highlight w:val="none"/>
        </w:rPr>
      </w:pPr>
      <w:bookmarkStart w:id="522" w:name="_Toc32033"/>
      <w:r>
        <w:rPr>
          <w:rFonts w:hint="eastAsia" w:cs="宋体"/>
          <w:highlight w:val="none"/>
        </w:rPr>
        <w:t>投标文件的修改和撤</w:t>
      </w:r>
      <w:bookmarkEnd w:id="500"/>
      <w:bookmarkEnd w:id="501"/>
      <w:r>
        <w:rPr>
          <w:rFonts w:hint="eastAsia" w:cs="宋体"/>
          <w:highlight w:val="none"/>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32"/>
        <w:ind w:firstLine="480"/>
        <w:rPr>
          <w:rFonts w:cs="宋体"/>
          <w:highlight w:val="none"/>
        </w:rPr>
      </w:pPr>
      <w:r>
        <w:rPr>
          <w:rFonts w:hint="eastAsia" w:cs="宋体"/>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32"/>
        <w:ind w:firstLine="480"/>
        <w:rPr>
          <w:rFonts w:cs="宋体"/>
          <w:highlight w:val="none"/>
        </w:rPr>
      </w:pPr>
      <w:r>
        <w:rPr>
          <w:rFonts w:hint="eastAsia" w:cs="宋体"/>
          <w:highlight w:val="none"/>
        </w:rPr>
        <w:t>投标截止时间后，投标人不得对其递交的投标文件做任何补充、修改。</w:t>
      </w:r>
    </w:p>
    <w:p>
      <w:pPr>
        <w:pStyle w:val="31"/>
        <w:ind w:firstLine="482"/>
        <w:rPr>
          <w:rFonts w:cs="宋体"/>
          <w:highlight w:val="none"/>
        </w:rPr>
      </w:pPr>
      <w:bookmarkStart w:id="523" w:name="_Toc5718"/>
      <w:bookmarkStart w:id="524" w:name="_Toc1032"/>
      <w:bookmarkStart w:id="525" w:name="_Toc4590"/>
      <w:r>
        <w:rPr>
          <w:rFonts w:hint="eastAsia" w:cs="宋体"/>
          <w:highlight w:val="none"/>
        </w:rPr>
        <w:t>投标文件的解密</w:t>
      </w:r>
      <w:bookmarkEnd w:id="523"/>
      <w:bookmarkEnd w:id="524"/>
      <w:bookmarkEnd w:id="525"/>
    </w:p>
    <w:p>
      <w:pPr>
        <w:pStyle w:val="32"/>
        <w:numPr>
          <w:ilvl w:val="3"/>
          <w:numId w:val="0"/>
        </w:numPr>
        <w:ind w:firstLine="480" w:firstLineChars="200"/>
        <w:rPr>
          <w:rFonts w:cs="宋体"/>
          <w:highlight w:val="none"/>
        </w:rPr>
      </w:pPr>
      <w:r>
        <w:rPr>
          <w:rFonts w:hint="eastAsia" w:cs="宋体"/>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50"/>
        <w:spacing w:before="120" w:after="120"/>
        <w:rPr>
          <w:highlight w:val="none"/>
        </w:rPr>
      </w:pPr>
      <w:bookmarkStart w:id="526" w:name="_Toc89075878"/>
      <w:bookmarkStart w:id="527" w:name="_Toc16817"/>
      <w:bookmarkStart w:id="528" w:name="_Toc17385"/>
      <w:bookmarkStart w:id="529" w:name="_Toc217446056"/>
      <w:bookmarkStart w:id="530" w:name="_Toc327196286"/>
      <w:bookmarkStart w:id="531" w:name="_Toc183582231"/>
      <w:bookmarkStart w:id="532" w:name="_Toc15691"/>
      <w:bookmarkStart w:id="533" w:name="_Toc21531"/>
      <w:bookmarkStart w:id="534" w:name="_Toc183682368"/>
      <w:bookmarkStart w:id="535" w:name="_Toc24962"/>
      <w:bookmarkStart w:id="536" w:name="_Toc77400782"/>
      <w:r>
        <w:rPr>
          <w:rFonts w:hint="eastAsia"/>
          <w:highlight w:val="none"/>
        </w:rPr>
        <w:t>开标和中标</w:t>
      </w:r>
      <w:bookmarkEnd w:id="526"/>
      <w:bookmarkEnd w:id="527"/>
      <w:bookmarkEnd w:id="528"/>
      <w:bookmarkEnd w:id="529"/>
      <w:bookmarkEnd w:id="530"/>
      <w:bookmarkEnd w:id="531"/>
      <w:bookmarkEnd w:id="532"/>
      <w:bookmarkEnd w:id="533"/>
      <w:bookmarkEnd w:id="534"/>
      <w:bookmarkEnd w:id="535"/>
      <w:bookmarkEnd w:id="536"/>
    </w:p>
    <w:p>
      <w:pPr>
        <w:pStyle w:val="31"/>
        <w:numPr>
          <w:ilvl w:val="2"/>
          <w:numId w:val="14"/>
        </w:numPr>
        <w:ind w:firstLine="482"/>
        <w:rPr>
          <w:rFonts w:cs="宋体"/>
          <w:highlight w:val="none"/>
        </w:rPr>
      </w:pPr>
      <w:bookmarkStart w:id="537" w:name="_Toc307564853"/>
      <w:bookmarkStart w:id="538" w:name="_Toc308188153"/>
      <w:bookmarkStart w:id="539" w:name="_Toc183682369"/>
      <w:bookmarkStart w:id="540" w:name="_Toc29493"/>
      <w:bookmarkStart w:id="541" w:name="_Toc319440143"/>
      <w:bookmarkStart w:id="542" w:name="_Toc11957"/>
      <w:bookmarkStart w:id="543" w:name="_Toc308084598"/>
      <w:bookmarkStart w:id="544" w:name="_Toc319439901"/>
      <w:bookmarkStart w:id="545" w:name="_Toc6289"/>
      <w:bookmarkStart w:id="546" w:name="_Toc15426"/>
      <w:bookmarkStart w:id="547" w:name="_Toc8915"/>
      <w:bookmarkStart w:id="548" w:name="_Toc18049"/>
      <w:bookmarkStart w:id="549" w:name="_Toc23336"/>
      <w:bookmarkStart w:id="550" w:name="_Toc309897516"/>
      <w:bookmarkStart w:id="551" w:name="_Toc29031"/>
      <w:bookmarkStart w:id="552" w:name="_Toc23998"/>
      <w:bookmarkStart w:id="553" w:name="_Toc327196287"/>
      <w:bookmarkStart w:id="554" w:name="_Toc183582232"/>
      <w:bookmarkStart w:id="555" w:name="_Toc13303"/>
      <w:bookmarkStart w:id="556" w:name="_Toc19952"/>
      <w:bookmarkStart w:id="557" w:name="_Toc307501110"/>
      <w:bookmarkStart w:id="558" w:name="_Toc217446057"/>
      <w:bookmarkStart w:id="559" w:name="_Toc13237"/>
      <w:bookmarkStart w:id="560" w:name="_Toc27783"/>
      <w:r>
        <w:rPr>
          <w:rFonts w:hint="eastAsia" w:cs="宋体"/>
          <w:highlight w:val="none"/>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cs="宋体"/>
          <w:highlight w:val="none"/>
        </w:rPr>
        <w:t>及开标程序</w:t>
      </w:r>
      <w:bookmarkEnd w:id="560"/>
    </w:p>
    <w:p>
      <w:pPr>
        <w:pStyle w:val="32"/>
        <w:numPr>
          <w:ilvl w:val="3"/>
          <w:numId w:val="15"/>
        </w:numPr>
        <w:ind w:firstLine="482"/>
        <w:rPr>
          <w:rFonts w:cs="宋体"/>
          <w:b/>
          <w:highlight w:val="none"/>
        </w:rPr>
      </w:pPr>
      <w:bookmarkStart w:id="561" w:name="_Toc319439902"/>
      <w:bookmarkStart w:id="562" w:name="_Toc327196288"/>
      <w:bookmarkStart w:id="563" w:name="_Toc307564854"/>
      <w:bookmarkStart w:id="564" w:name="_Toc308188154"/>
      <w:bookmarkStart w:id="565" w:name="_Toc217446058"/>
      <w:bookmarkStart w:id="566" w:name="_Toc319440144"/>
      <w:bookmarkStart w:id="567" w:name="_Toc307501111"/>
      <w:bookmarkStart w:id="568" w:name="_Toc309897517"/>
      <w:bookmarkStart w:id="569" w:name="_Toc308084599"/>
      <w:r>
        <w:rPr>
          <w:rFonts w:hint="eastAsia" w:cs="宋体"/>
          <w:b/>
          <w:highlight w:val="none"/>
        </w:rPr>
        <w:t>本项目为不见面开标项目(递交电子投标文件的投标人不足3家的，不予开标)。</w:t>
      </w:r>
    </w:p>
    <w:p>
      <w:pPr>
        <w:pStyle w:val="32"/>
        <w:numPr>
          <w:ilvl w:val="3"/>
          <w:numId w:val="15"/>
        </w:numPr>
        <w:ind w:firstLine="482"/>
        <w:rPr>
          <w:rFonts w:cs="宋体"/>
          <w:b/>
          <w:highlight w:val="none"/>
        </w:rPr>
      </w:pPr>
      <w:r>
        <w:rPr>
          <w:rFonts w:hint="eastAsia" w:cs="宋体"/>
          <w:b/>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32"/>
        <w:numPr>
          <w:ilvl w:val="0"/>
          <w:numId w:val="0"/>
        </w:numPr>
        <w:ind w:firstLine="482" w:firstLineChars="200"/>
        <w:rPr>
          <w:rFonts w:cs="宋体"/>
          <w:b/>
          <w:highlight w:val="none"/>
        </w:rPr>
      </w:pPr>
      <w:r>
        <w:rPr>
          <w:rFonts w:hint="eastAsia" w:cs="宋体"/>
          <w:b/>
          <w:highlight w:val="none"/>
        </w:rPr>
        <w:t>提示：投标人未按时登录不见面开标系统，错过开标解密时间的，由投标人自行承担不利后果。</w:t>
      </w:r>
    </w:p>
    <w:p>
      <w:pPr>
        <w:pStyle w:val="32"/>
        <w:numPr>
          <w:ilvl w:val="3"/>
          <w:numId w:val="15"/>
        </w:numPr>
        <w:ind w:firstLine="482"/>
        <w:rPr>
          <w:rFonts w:cs="宋体"/>
          <w:b/>
          <w:highlight w:val="none"/>
        </w:rPr>
      </w:pPr>
      <w:r>
        <w:rPr>
          <w:rFonts w:hint="eastAsia" w:cs="宋体"/>
          <w:b/>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32"/>
        <w:numPr>
          <w:ilvl w:val="3"/>
          <w:numId w:val="15"/>
        </w:numPr>
        <w:ind w:firstLine="482"/>
        <w:rPr>
          <w:rFonts w:cs="宋体"/>
          <w:b/>
          <w:highlight w:val="none"/>
        </w:rPr>
      </w:pPr>
      <w:r>
        <w:rPr>
          <w:rFonts w:hint="eastAsia" w:cs="宋体"/>
          <w:b/>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32"/>
        <w:numPr>
          <w:ilvl w:val="3"/>
          <w:numId w:val="15"/>
        </w:numPr>
        <w:ind w:firstLine="482"/>
        <w:rPr>
          <w:rFonts w:cs="宋体"/>
          <w:b/>
          <w:highlight w:val="none"/>
        </w:rPr>
      </w:pPr>
      <w:r>
        <w:rPr>
          <w:rFonts w:hint="eastAsia" w:cs="宋体"/>
          <w:b/>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32"/>
        <w:numPr>
          <w:ilvl w:val="3"/>
          <w:numId w:val="15"/>
        </w:numPr>
        <w:ind w:firstLine="482"/>
        <w:rPr>
          <w:rFonts w:cs="宋体"/>
          <w:b/>
          <w:highlight w:val="none"/>
        </w:rPr>
      </w:pPr>
      <w:r>
        <w:rPr>
          <w:rFonts w:hint="eastAsia" w:cs="宋体"/>
          <w:b/>
          <w:highlight w:val="none"/>
        </w:rPr>
        <w:t>因采购代理机构断电、断网、系统故障或其他不可抗力等因素导致不见面开标系统无法正常运行的，开标活动中止或延迟，待系统恢复正常后继续进行开标活动。</w:t>
      </w:r>
    </w:p>
    <w:p>
      <w:pPr>
        <w:pStyle w:val="32"/>
        <w:numPr>
          <w:ilvl w:val="3"/>
          <w:numId w:val="15"/>
        </w:numPr>
        <w:ind w:firstLine="482"/>
        <w:rPr>
          <w:rFonts w:cs="宋体"/>
          <w:b/>
          <w:highlight w:val="none"/>
        </w:rPr>
      </w:pPr>
      <w:r>
        <w:rPr>
          <w:rFonts w:hint="eastAsia" w:cs="宋体"/>
          <w:b/>
          <w:highlight w:val="none"/>
        </w:rPr>
        <w:t>开标、投标文件的解密详见《成都市全流程电子化采购系统操作指南——供应商版》，具体</w:t>
      </w:r>
      <w:r>
        <w:rPr>
          <w:rFonts w:hint="eastAsia" w:cs="宋体"/>
          <w:b/>
          <w:bCs/>
          <w:highlight w:val="none"/>
          <w:lang w:val="zh-CN"/>
        </w:rPr>
        <w:t>以“政府采购云平台”网站发布为准。</w:t>
      </w:r>
    </w:p>
    <w:p>
      <w:pPr>
        <w:pStyle w:val="32"/>
        <w:numPr>
          <w:ilvl w:val="3"/>
          <w:numId w:val="15"/>
        </w:numPr>
        <w:ind w:firstLine="482"/>
        <w:rPr>
          <w:rFonts w:cs="宋体"/>
          <w:b/>
          <w:highlight w:val="none"/>
        </w:rPr>
      </w:pPr>
      <w:r>
        <w:rPr>
          <w:rFonts w:hint="eastAsia" w:cs="宋体"/>
          <w:b/>
          <w:highlight w:val="none"/>
        </w:rPr>
        <w:t>不见面开标过程中，各方主体均应遵守国家互联网有关规定，不得发表与交易活动无关的言论。</w:t>
      </w:r>
    </w:p>
    <w:bookmarkEnd w:id="561"/>
    <w:bookmarkEnd w:id="562"/>
    <w:bookmarkEnd w:id="563"/>
    <w:bookmarkEnd w:id="564"/>
    <w:bookmarkEnd w:id="565"/>
    <w:bookmarkEnd w:id="566"/>
    <w:bookmarkEnd w:id="567"/>
    <w:bookmarkEnd w:id="568"/>
    <w:bookmarkEnd w:id="569"/>
    <w:p>
      <w:pPr>
        <w:pStyle w:val="31"/>
        <w:ind w:firstLine="482"/>
        <w:rPr>
          <w:rFonts w:cs="宋体"/>
          <w:highlight w:val="none"/>
        </w:rPr>
      </w:pPr>
      <w:bookmarkStart w:id="570" w:name="_Toc18413"/>
      <w:bookmarkStart w:id="571" w:name="_Toc21578"/>
      <w:bookmarkStart w:id="572" w:name="_Toc183682375"/>
      <w:bookmarkStart w:id="573" w:name="_Toc183582238"/>
      <w:bookmarkStart w:id="574" w:name="_Toc319440145"/>
      <w:bookmarkStart w:id="575" w:name="_Toc217446063"/>
      <w:bookmarkStart w:id="576" w:name="_Toc13751"/>
      <w:bookmarkStart w:id="577" w:name="_Toc128"/>
      <w:bookmarkStart w:id="578" w:name="_Toc28123"/>
      <w:bookmarkStart w:id="579" w:name="_Toc28481"/>
      <w:bookmarkStart w:id="580" w:name="_Toc307501112"/>
      <w:bookmarkStart w:id="581" w:name="_Toc6332"/>
      <w:bookmarkStart w:id="582" w:name="_Toc9806"/>
      <w:bookmarkStart w:id="583" w:name="_Toc327196289"/>
      <w:bookmarkStart w:id="584" w:name="_Toc319439903"/>
      <w:bookmarkStart w:id="585" w:name="_Toc15967"/>
      <w:bookmarkStart w:id="586" w:name="_Toc308084600"/>
      <w:bookmarkStart w:id="587" w:name="_Toc8800"/>
      <w:bookmarkStart w:id="588" w:name="_Toc309897518"/>
      <w:bookmarkStart w:id="589" w:name="_Toc16512"/>
      <w:bookmarkStart w:id="590" w:name="_Toc308188155"/>
      <w:bookmarkStart w:id="591" w:name="_Toc307564855"/>
      <w:bookmarkStart w:id="592" w:name="_Toc489"/>
      <w:r>
        <w:rPr>
          <w:rFonts w:hint="eastAsia" w:cs="宋体"/>
          <w:highlight w:val="none"/>
        </w:rPr>
        <w:t>开评标过程存档</w:t>
      </w:r>
      <w:bookmarkEnd w:id="570"/>
      <w:bookmarkEnd w:id="571"/>
    </w:p>
    <w:p>
      <w:pPr>
        <w:pStyle w:val="29"/>
        <w:ind w:firstLine="480" w:firstLineChars="200"/>
        <w:rPr>
          <w:rFonts w:cs="宋体"/>
          <w:highlight w:val="none"/>
        </w:rPr>
      </w:pPr>
      <w:r>
        <w:rPr>
          <w:rFonts w:hint="eastAsia" w:cs="宋体"/>
          <w:highlight w:val="none"/>
        </w:rPr>
        <w:t>开标和评标过程进行全过程电子监控，并将电子监控资料存储介质留存归档。</w:t>
      </w:r>
    </w:p>
    <w:p>
      <w:pPr>
        <w:pStyle w:val="31"/>
        <w:ind w:firstLine="482"/>
        <w:rPr>
          <w:rFonts w:cs="宋体"/>
          <w:highlight w:val="none"/>
        </w:rPr>
      </w:pPr>
      <w:bookmarkStart w:id="593" w:name="_Toc17190"/>
      <w:bookmarkStart w:id="594" w:name="_Toc4085"/>
      <w:bookmarkStart w:id="595" w:name="_Toc32453"/>
      <w:r>
        <w:rPr>
          <w:rFonts w:hint="eastAsia" w:cs="宋体"/>
          <w:highlight w:val="none"/>
        </w:rPr>
        <w:t>中标通知</w:t>
      </w:r>
      <w:bookmarkEnd w:id="572"/>
      <w:bookmarkEnd w:id="573"/>
      <w:r>
        <w:rPr>
          <w:rFonts w:hint="eastAsia" w:cs="宋体"/>
          <w:highlight w:val="none"/>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32"/>
        <w:ind w:firstLine="480"/>
        <w:rPr>
          <w:rFonts w:cs="宋体"/>
          <w:highlight w:val="none"/>
        </w:rPr>
      </w:pPr>
      <w:r>
        <w:rPr>
          <w:rFonts w:hint="eastAsia" w:cs="宋体"/>
          <w:highlight w:val="none"/>
        </w:rPr>
        <w:t>中标通知书为签订政府采购合同的依据，是合同的有效组成部分。</w:t>
      </w:r>
    </w:p>
    <w:p>
      <w:pPr>
        <w:pStyle w:val="32"/>
        <w:ind w:firstLine="480"/>
        <w:rPr>
          <w:rFonts w:cs="宋体"/>
          <w:highlight w:val="none"/>
        </w:rPr>
      </w:pPr>
      <w:r>
        <w:rPr>
          <w:rFonts w:hint="eastAsia" w:cs="宋体"/>
          <w:highlight w:val="none"/>
        </w:rPr>
        <w:t>中标通知书对采购人和中标人均具有法律效力。中标通知书发出后，采购人改变中标结果，或者中标人无正当理由放弃中标的，应当承担相应的法律责任。</w:t>
      </w:r>
    </w:p>
    <w:p>
      <w:pPr>
        <w:pStyle w:val="32"/>
        <w:ind w:firstLine="480"/>
        <w:rPr>
          <w:rFonts w:cs="宋体"/>
          <w:highlight w:val="none"/>
        </w:rPr>
      </w:pPr>
      <w:r>
        <w:rPr>
          <w:rFonts w:hint="eastAsia" w:cs="宋体"/>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32"/>
        <w:ind w:firstLine="480"/>
        <w:rPr>
          <w:rFonts w:cs="宋体"/>
          <w:highlight w:val="none"/>
        </w:rPr>
      </w:pPr>
      <w:r>
        <w:rPr>
          <w:rFonts w:hint="eastAsia" w:cs="宋体"/>
          <w:highlight w:val="none"/>
          <w:lang w:val="zh-CN"/>
        </w:rPr>
        <w:t>在四川政府采购网公告中标结果同时发出中标通知书，中标供应商自行登录“政府采购云平台”下载中标通知书</w:t>
      </w:r>
      <w:r>
        <w:rPr>
          <w:rFonts w:hint="eastAsia" w:cs="宋体"/>
          <w:highlight w:val="none"/>
        </w:rPr>
        <w:t>。</w:t>
      </w:r>
    </w:p>
    <w:p>
      <w:pPr>
        <w:pStyle w:val="50"/>
        <w:spacing w:before="120" w:after="120"/>
        <w:rPr>
          <w:highlight w:val="none"/>
        </w:rPr>
      </w:pPr>
      <w:bookmarkStart w:id="596" w:name="_Toc13383"/>
      <w:bookmarkStart w:id="597" w:name="_Toc2685"/>
      <w:bookmarkStart w:id="598" w:name="_Toc217446064"/>
      <w:bookmarkStart w:id="599" w:name="_Toc327196290"/>
      <w:bookmarkStart w:id="600" w:name="_Toc30422"/>
      <w:bookmarkStart w:id="601" w:name="_Toc16810"/>
      <w:bookmarkStart w:id="602" w:name="_Toc10354"/>
      <w:bookmarkStart w:id="603" w:name="_Toc183682377"/>
      <w:bookmarkStart w:id="604" w:name="_Toc183582240"/>
      <w:r>
        <w:rPr>
          <w:rFonts w:hint="eastAsia"/>
          <w:highlight w:val="none"/>
        </w:rPr>
        <w:t>签订及履行合同和验收</w:t>
      </w:r>
      <w:bookmarkEnd w:id="596"/>
      <w:bookmarkEnd w:id="597"/>
      <w:bookmarkEnd w:id="598"/>
      <w:bookmarkEnd w:id="599"/>
      <w:bookmarkEnd w:id="600"/>
      <w:bookmarkEnd w:id="601"/>
      <w:bookmarkEnd w:id="602"/>
    </w:p>
    <w:p>
      <w:pPr>
        <w:pStyle w:val="31"/>
        <w:numPr>
          <w:ilvl w:val="2"/>
          <w:numId w:val="16"/>
        </w:numPr>
        <w:ind w:firstLine="482"/>
        <w:rPr>
          <w:rFonts w:cs="宋体"/>
          <w:highlight w:val="none"/>
        </w:rPr>
      </w:pPr>
      <w:bookmarkStart w:id="605" w:name="_Toc308084602"/>
      <w:bookmarkStart w:id="606" w:name="_Toc27715"/>
      <w:bookmarkStart w:id="607" w:name="_Toc9464"/>
      <w:bookmarkStart w:id="608" w:name="_Toc319440147"/>
      <w:bookmarkStart w:id="609" w:name="_Toc4460"/>
      <w:bookmarkStart w:id="610" w:name="_Toc20427"/>
      <w:bookmarkStart w:id="611" w:name="_Toc27214"/>
      <w:bookmarkStart w:id="612" w:name="_Toc16835"/>
      <w:bookmarkStart w:id="613" w:name="_Toc217446065"/>
      <w:bookmarkStart w:id="614" w:name="_Toc327196291"/>
      <w:bookmarkStart w:id="615" w:name="_Toc307564857"/>
      <w:bookmarkStart w:id="616" w:name="_Toc515"/>
      <w:bookmarkStart w:id="617" w:name="_Toc25992"/>
      <w:bookmarkStart w:id="618" w:name="_Toc319439905"/>
      <w:bookmarkStart w:id="619" w:name="_Toc309897520"/>
      <w:bookmarkStart w:id="620" w:name="_Toc3130"/>
      <w:bookmarkStart w:id="621" w:name="_Toc308188157"/>
      <w:bookmarkStart w:id="622" w:name="_Toc5659"/>
      <w:bookmarkStart w:id="623" w:name="_Toc27989"/>
      <w:bookmarkStart w:id="624" w:name="_Toc307501114"/>
      <w:bookmarkStart w:id="625" w:name="_Toc24949"/>
      <w:r>
        <w:rPr>
          <w:rFonts w:hint="eastAsia" w:cs="宋体"/>
          <w:highlight w:val="none"/>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32"/>
        <w:ind w:firstLine="480"/>
        <w:rPr>
          <w:rFonts w:cs="宋体"/>
          <w:highlight w:val="none"/>
        </w:rPr>
      </w:pPr>
      <w:bookmarkStart w:id="626" w:name="_Toc217446066"/>
      <w:bookmarkStart w:id="627" w:name="_Toc308188158"/>
      <w:bookmarkStart w:id="628" w:name="_Toc31670"/>
      <w:bookmarkStart w:id="629" w:name="_Toc20139"/>
      <w:bookmarkStart w:id="630" w:name="_Toc308084603"/>
      <w:bookmarkStart w:id="631" w:name="_Toc319439906"/>
      <w:bookmarkStart w:id="632" w:name="_Toc12852"/>
      <w:bookmarkStart w:id="633" w:name="_Toc309897521"/>
      <w:bookmarkStart w:id="634" w:name="_Toc307501115"/>
      <w:bookmarkStart w:id="635" w:name="_Toc319440148"/>
      <w:bookmarkStart w:id="636" w:name="_Toc12489"/>
      <w:bookmarkStart w:id="637" w:name="_Toc327196292"/>
      <w:bookmarkStart w:id="638" w:name="_Toc3758"/>
      <w:bookmarkStart w:id="639" w:name="_Toc31397"/>
      <w:bookmarkStart w:id="640" w:name="_Toc307564858"/>
      <w:bookmarkStart w:id="641" w:name="_Toc25756"/>
      <w:bookmarkStart w:id="642" w:name="_Toc24196"/>
      <w:bookmarkStart w:id="643" w:name="_Toc26000"/>
      <w:bookmarkStart w:id="644" w:name="_Toc29795"/>
      <w:r>
        <w:rPr>
          <w:rFonts w:hint="eastAsia" w:cs="宋体"/>
          <w:highlight w:val="none"/>
        </w:rPr>
        <w:t>中标人应在中标通知书发出之日起三十日内与采购人签订采购合同。由于中标人的原因逾期未与采购人签订采购合同的，将视为放弃中标，取消其中标资格并将按相关规定进行处理。</w:t>
      </w:r>
    </w:p>
    <w:p>
      <w:pPr>
        <w:pStyle w:val="32"/>
        <w:ind w:firstLine="480"/>
        <w:rPr>
          <w:rFonts w:cs="宋体"/>
          <w:highlight w:val="none"/>
        </w:rPr>
      </w:pPr>
      <w:r>
        <w:rPr>
          <w:rFonts w:hint="eastAsia" w:cs="宋体"/>
          <w:highlight w:val="none"/>
        </w:rPr>
        <w:t>政府采购合同应当包括采购人与中标人的名称和住所、标的、数量、质量、价款或者报酬、履行期限及地点和方式、验收要求、违约责任、解决争议的方法等内容。</w:t>
      </w:r>
    </w:p>
    <w:p>
      <w:pPr>
        <w:pStyle w:val="32"/>
        <w:ind w:firstLine="480"/>
        <w:rPr>
          <w:rFonts w:cs="宋体"/>
          <w:highlight w:val="none"/>
        </w:rPr>
      </w:pPr>
      <w:r>
        <w:rPr>
          <w:rFonts w:hint="eastAsia" w:cs="宋体"/>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2"/>
        <w:ind w:firstLine="480"/>
        <w:rPr>
          <w:rFonts w:cs="宋体"/>
          <w:highlight w:val="none"/>
        </w:rPr>
      </w:pPr>
      <w:r>
        <w:rPr>
          <w:rFonts w:hint="eastAsia" w:cs="宋体"/>
          <w:highlight w:val="none"/>
        </w:rPr>
        <w:t>本项目的招标文件、中标供应商提交的投标文件、评审中的澄清、中标通知书等文件均具有法律约束力，属于合同组成部分。</w:t>
      </w:r>
    </w:p>
    <w:p>
      <w:pPr>
        <w:pStyle w:val="32"/>
        <w:ind w:firstLine="480"/>
        <w:rPr>
          <w:rFonts w:cs="宋体"/>
          <w:b/>
          <w:bCs/>
          <w:highlight w:val="none"/>
        </w:rPr>
      </w:pPr>
      <w:r>
        <w:rPr>
          <w:rFonts w:hint="eastAsia" w:cs="宋体"/>
          <w:highlight w:val="none"/>
        </w:rPr>
        <w:t>中标人因不可抗力原因不能履行采购合同或放弃中标的，采购人可以与排在中标人之后第一位的中标候选人签订采购合同，以此类推。</w:t>
      </w:r>
    </w:p>
    <w:p>
      <w:pPr>
        <w:pStyle w:val="31"/>
        <w:numPr>
          <w:ilvl w:val="2"/>
          <w:numId w:val="16"/>
        </w:numPr>
        <w:ind w:firstLine="482"/>
        <w:rPr>
          <w:rFonts w:cs="宋体"/>
          <w:highlight w:val="none"/>
        </w:rPr>
      </w:pPr>
      <w:bookmarkStart w:id="645" w:name="_Toc22006"/>
      <w:bookmarkStart w:id="646" w:name="_Toc12864"/>
      <w:r>
        <w:rPr>
          <w:rFonts w:hint="eastAsia" w:cs="宋体"/>
          <w:highlight w:val="none"/>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cs="宋体"/>
          <w:highlight w:val="none"/>
        </w:rPr>
        <w:t>分包</w:t>
      </w:r>
      <w:bookmarkEnd w:id="641"/>
      <w:bookmarkEnd w:id="642"/>
      <w:r>
        <w:rPr>
          <w:rFonts w:hint="eastAsia" w:cs="宋体"/>
          <w:highlight w:val="none"/>
        </w:rPr>
        <w:t>(实质性要求)</w:t>
      </w:r>
      <w:bookmarkEnd w:id="643"/>
      <w:bookmarkEnd w:id="644"/>
      <w:bookmarkEnd w:id="645"/>
      <w:bookmarkEnd w:id="646"/>
    </w:p>
    <w:p>
      <w:pPr>
        <w:pStyle w:val="33"/>
        <w:rPr>
          <w:rFonts w:cs="宋体"/>
          <w:highlight w:val="none"/>
        </w:rPr>
      </w:pPr>
      <w:bookmarkStart w:id="647" w:name="_Toc15644"/>
      <w:bookmarkStart w:id="648" w:name="_Toc319439907"/>
      <w:bookmarkStart w:id="649" w:name="_Toc29552"/>
      <w:bookmarkStart w:id="650" w:name="_Toc16143"/>
      <w:bookmarkStart w:id="651" w:name="_Toc29332"/>
      <w:bookmarkStart w:id="652" w:name="_Toc30954"/>
      <w:bookmarkStart w:id="653" w:name="_Toc307564859"/>
      <w:bookmarkStart w:id="654" w:name="_Toc308084604"/>
      <w:bookmarkStart w:id="655" w:name="_Toc327196293"/>
      <w:bookmarkStart w:id="656" w:name="_Toc319440149"/>
      <w:bookmarkStart w:id="657" w:name="_Toc19999"/>
      <w:bookmarkStart w:id="658" w:name="_Toc217446067"/>
      <w:bookmarkStart w:id="659" w:name="_Toc29842"/>
      <w:bookmarkStart w:id="660" w:name="_Toc309897522"/>
      <w:bookmarkStart w:id="661" w:name="_Toc307501116"/>
      <w:bookmarkStart w:id="662" w:name="_Toc308188159"/>
      <w:bookmarkStart w:id="663" w:name="_Toc30827"/>
      <w:r>
        <w:rPr>
          <w:rFonts w:hint="eastAsia" w:cs="宋体"/>
          <w:highlight w:val="none"/>
        </w:rPr>
        <w:t>本项目不允许投标人以合同分包形式进行投标。</w:t>
      </w:r>
    </w:p>
    <w:p>
      <w:pPr>
        <w:pStyle w:val="31"/>
        <w:numPr>
          <w:ilvl w:val="2"/>
          <w:numId w:val="16"/>
        </w:numPr>
        <w:ind w:firstLine="482"/>
        <w:rPr>
          <w:rFonts w:cs="宋体"/>
          <w:highlight w:val="none"/>
        </w:rPr>
      </w:pPr>
      <w:bookmarkStart w:id="664" w:name="_Toc28937"/>
      <w:bookmarkStart w:id="665" w:name="_Toc29526"/>
      <w:bookmarkStart w:id="666" w:name="_Toc2197"/>
      <w:bookmarkStart w:id="667" w:name="_Toc5242"/>
      <w:r>
        <w:rPr>
          <w:rFonts w:hint="eastAsia" w:cs="宋体"/>
          <w:highlight w:val="none"/>
        </w:rPr>
        <w:t>合同转包(实质性要求)</w:t>
      </w:r>
      <w:bookmarkEnd w:id="664"/>
      <w:bookmarkEnd w:id="665"/>
      <w:bookmarkEnd w:id="666"/>
      <w:bookmarkEnd w:id="667"/>
    </w:p>
    <w:p>
      <w:pPr>
        <w:pStyle w:val="33"/>
        <w:rPr>
          <w:rFonts w:cs="宋体"/>
          <w:highlight w:val="none"/>
        </w:rPr>
      </w:pPr>
      <w:r>
        <w:rPr>
          <w:rFonts w:hint="eastAsia" w:cs="宋体"/>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3"/>
        <w:rPr>
          <w:rFonts w:cs="宋体"/>
          <w:highlight w:val="none"/>
        </w:rPr>
      </w:pPr>
      <w:r>
        <w:rPr>
          <w:rFonts w:hint="eastAsia" w:cs="宋体"/>
          <w:highlight w:val="none"/>
        </w:rPr>
        <w:t>中标人转包的，视同拒绝履行政府采购合同义务，将依法追究法律责任。</w:t>
      </w:r>
    </w:p>
    <w:p>
      <w:pPr>
        <w:pStyle w:val="31"/>
        <w:numPr>
          <w:ilvl w:val="2"/>
          <w:numId w:val="16"/>
        </w:numPr>
        <w:ind w:firstLine="482"/>
        <w:rPr>
          <w:rFonts w:cs="宋体"/>
          <w:highlight w:val="none"/>
        </w:rPr>
      </w:pPr>
      <w:bookmarkStart w:id="668" w:name="_Toc23807"/>
      <w:bookmarkStart w:id="669" w:name="_Toc11992"/>
      <w:bookmarkStart w:id="670" w:name="_Toc9592"/>
      <w:bookmarkStart w:id="671" w:name="_Toc12603"/>
      <w:r>
        <w:rPr>
          <w:rFonts w:hint="eastAsia" w:cs="宋体"/>
          <w:highlight w:val="none"/>
        </w:rPr>
        <w:t>补充合同</w:t>
      </w:r>
      <w:bookmarkEnd w:id="668"/>
      <w:bookmarkEnd w:id="669"/>
      <w:bookmarkEnd w:id="670"/>
      <w:bookmarkEnd w:id="671"/>
    </w:p>
    <w:p>
      <w:pPr>
        <w:pStyle w:val="33"/>
        <w:rPr>
          <w:rFonts w:cs="宋体"/>
          <w:highlight w:val="none"/>
        </w:rPr>
      </w:pPr>
      <w:r>
        <w:rPr>
          <w:rFonts w:hint="eastAsia" w:cs="宋体"/>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31"/>
        <w:numPr>
          <w:ilvl w:val="2"/>
          <w:numId w:val="16"/>
        </w:numPr>
        <w:ind w:firstLine="482"/>
        <w:rPr>
          <w:rFonts w:cs="宋体"/>
          <w:highlight w:val="none"/>
        </w:rPr>
      </w:pPr>
      <w:bookmarkStart w:id="672" w:name="_Toc31562"/>
      <w:bookmarkStart w:id="673" w:name="_Toc12689"/>
      <w:bookmarkStart w:id="674" w:name="_Toc10394"/>
      <w:bookmarkStart w:id="675" w:name="_Toc30638"/>
      <w:bookmarkStart w:id="676" w:name="_Toc13715"/>
      <w:bookmarkStart w:id="677" w:name="_Toc24237"/>
      <w:bookmarkStart w:id="678" w:name="_Toc24147"/>
      <w:bookmarkStart w:id="679" w:name="_Toc31704"/>
      <w:bookmarkStart w:id="680" w:name="_Toc308164812"/>
      <w:bookmarkStart w:id="681" w:name="_Toc308188160"/>
      <w:bookmarkStart w:id="682" w:name="_Toc19537"/>
      <w:bookmarkStart w:id="683" w:name="_Toc11533"/>
      <w:bookmarkStart w:id="684" w:name="_Toc28404"/>
      <w:bookmarkStart w:id="685" w:name="_Toc22746"/>
      <w:bookmarkStart w:id="686" w:name="_Toc217446068"/>
      <w:bookmarkStart w:id="687" w:name="_Toc309897523"/>
      <w:bookmarkStart w:id="688" w:name="_Toc327196294"/>
      <w:bookmarkStart w:id="689" w:name="_Toc16034"/>
      <w:bookmarkStart w:id="690" w:name="_Toc30856"/>
      <w:bookmarkStart w:id="691" w:name="_Toc307564860"/>
      <w:bookmarkStart w:id="692" w:name="_Toc308084605"/>
      <w:bookmarkStart w:id="693" w:name="_Toc319439908"/>
      <w:bookmarkStart w:id="694" w:name="_Toc27331"/>
      <w:bookmarkStart w:id="695" w:name="_Toc319440150"/>
      <w:bookmarkStart w:id="696" w:name="_Toc27686"/>
      <w:bookmarkStart w:id="697" w:name="_Toc307501117"/>
      <w:r>
        <w:rPr>
          <w:rFonts w:hint="eastAsia" w:cs="宋体"/>
          <w:highlight w:val="none"/>
        </w:rPr>
        <w:t>合同公告</w:t>
      </w:r>
      <w:bookmarkEnd w:id="672"/>
      <w:bookmarkEnd w:id="673"/>
      <w:bookmarkEnd w:id="674"/>
      <w:bookmarkEnd w:id="675"/>
      <w:bookmarkEnd w:id="676"/>
    </w:p>
    <w:p>
      <w:pPr>
        <w:pStyle w:val="33"/>
        <w:rPr>
          <w:rFonts w:cs="宋体"/>
          <w:highlight w:val="none"/>
        </w:rPr>
      </w:pPr>
      <w:r>
        <w:rPr>
          <w:rFonts w:hint="eastAsia" w:cs="宋体"/>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31"/>
        <w:numPr>
          <w:ilvl w:val="2"/>
          <w:numId w:val="16"/>
        </w:numPr>
        <w:ind w:firstLine="482"/>
        <w:rPr>
          <w:rFonts w:cs="宋体"/>
          <w:highlight w:val="none"/>
        </w:rPr>
      </w:pPr>
      <w:bookmarkStart w:id="698" w:name="_Toc559"/>
      <w:bookmarkStart w:id="699" w:name="_Toc29726"/>
      <w:bookmarkStart w:id="700" w:name="_Toc19464"/>
      <w:r>
        <w:rPr>
          <w:rFonts w:hint="eastAsia" w:cs="宋体"/>
          <w:highlight w:val="none"/>
        </w:rPr>
        <w:t>合同备案</w:t>
      </w:r>
      <w:bookmarkEnd w:id="698"/>
      <w:bookmarkEnd w:id="699"/>
      <w:bookmarkEnd w:id="700"/>
    </w:p>
    <w:p>
      <w:pPr>
        <w:pStyle w:val="33"/>
        <w:rPr>
          <w:rFonts w:cs="宋体"/>
          <w:highlight w:val="none"/>
        </w:rPr>
      </w:pPr>
      <w:r>
        <w:rPr>
          <w:rFonts w:hint="eastAsia" w:cs="宋体"/>
          <w:highlight w:val="none"/>
        </w:rPr>
        <w:t>采购人应当将政府采购合同副本自签订之日起七个工作日内通过“政采云平台”报同级财政部门备案。</w:t>
      </w:r>
    </w:p>
    <w:p>
      <w:pPr>
        <w:pStyle w:val="31"/>
        <w:numPr>
          <w:ilvl w:val="2"/>
          <w:numId w:val="16"/>
        </w:numPr>
        <w:ind w:firstLine="482"/>
        <w:rPr>
          <w:rFonts w:cs="宋体"/>
          <w:highlight w:val="none"/>
        </w:rPr>
      </w:pPr>
      <w:bookmarkStart w:id="701" w:name="_Toc15218"/>
      <w:r>
        <w:rPr>
          <w:rFonts w:hint="eastAsia" w:cs="宋体"/>
          <w:highlight w:val="none"/>
        </w:rPr>
        <w:t>履约保证金</w:t>
      </w:r>
      <w:bookmarkEnd w:id="677"/>
      <w:bookmarkEnd w:id="678"/>
      <w:bookmarkEnd w:id="679"/>
      <w:bookmarkEnd w:id="680"/>
      <w:bookmarkEnd w:id="701"/>
    </w:p>
    <w:p>
      <w:pPr>
        <w:pStyle w:val="33"/>
        <w:rPr>
          <w:rFonts w:cs="宋体"/>
          <w:highlight w:val="none"/>
        </w:rPr>
      </w:pPr>
      <w:r>
        <w:rPr>
          <w:rFonts w:hint="eastAsia" w:cs="宋体"/>
          <w:highlight w:val="none"/>
        </w:rPr>
        <w:t>详见第二章投标人须知前附表。</w:t>
      </w:r>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31"/>
        <w:numPr>
          <w:ilvl w:val="2"/>
          <w:numId w:val="16"/>
        </w:numPr>
        <w:ind w:firstLine="482"/>
        <w:rPr>
          <w:rFonts w:cs="宋体"/>
          <w:highlight w:val="none"/>
        </w:rPr>
      </w:pPr>
      <w:bookmarkStart w:id="702" w:name="_Toc29503"/>
      <w:bookmarkStart w:id="703" w:name="_Toc3093"/>
      <w:bookmarkStart w:id="704" w:name="_Toc15310"/>
      <w:bookmarkStart w:id="705" w:name="_Toc13194"/>
      <w:bookmarkStart w:id="706" w:name="_Toc217446070"/>
      <w:bookmarkStart w:id="707" w:name="_Toc307501119"/>
      <w:bookmarkStart w:id="708" w:name="_Toc18547"/>
      <w:bookmarkStart w:id="709" w:name="_Toc27114"/>
      <w:bookmarkStart w:id="710" w:name="_Toc308084607"/>
      <w:bookmarkStart w:id="711" w:name="_Toc319440152"/>
      <w:bookmarkStart w:id="712" w:name="_Toc309897525"/>
      <w:bookmarkStart w:id="713" w:name="_Toc327196296"/>
      <w:bookmarkStart w:id="714" w:name="_Toc15219"/>
      <w:bookmarkStart w:id="715" w:name="_Toc9815"/>
      <w:bookmarkStart w:id="716" w:name="_Toc5754"/>
      <w:bookmarkStart w:id="717" w:name="_Toc319439910"/>
      <w:bookmarkStart w:id="718" w:name="_Toc17018"/>
      <w:bookmarkStart w:id="719" w:name="_Toc27872"/>
      <w:bookmarkStart w:id="720" w:name="_Toc9916"/>
      <w:bookmarkStart w:id="721" w:name="_Toc307564862"/>
      <w:bookmarkStart w:id="722" w:name="_Toc308188162"/>
      <w:r>
        <w:rPr>
          <w:rFonts w:hint="eastAsia" w:cs="宋体"/>
          <w:highlight w:val="none"/>
        </w:rPr>
        <w:t>履行合同</w:t>
      </w:r>
      <w:bookmarkEnd w:id="702"/>
      <w:bookmarkEnd w:id="703"/>
      <w:bookmarkEnd w:id="704"/>
      <w:bookmarkEnd w:id="705"/>
    </w:p>
    <w:p>
      <w:pPr>
        <w:pStyle w:val="32"/>
        <w:ind w:firstLine="480"/>
        <w:rPr>
          <w:rFonts w:cs="宋体"/>
          <w:highlight w:val="none"/>
        </w:rPr>
      </w:pPr>
      <w:bookmarkStart w:id="723" w:name="_Toc31"/>
      <w:bookmarkStart w:id="724" w:name="_Toc12435"/>
      <w:r>
        <w:rPr>
          <w:rFonts w:hint="eastAsia" w:cs="宋体"/>
          <w:highlight w:val="none"/>
        </w:rPr>
        <w:t>采购人与中标人应当根据合同的约定依法履行合同义务。</w:t>
      </w:r>
    </w:p>
    <w:p>
      <w:pPr>
        <w:pStyle w:val="32"/>
        <w:ind w:firstLine="480"/>
        <w:rPr>
          <w:rFonts w:cs="宋体"/>
          <w:highlight w:val="none"/>
        </w:rPr>
      </w:pPr>
      <w:r>
        <w:rPr>
          <w:rFonts w:hint="eastAsia" w:cs="宋体"/>
          <w:highlight w:val="none"/>
        </w:rPr>
        <w:t>政府采购合同的履行、违约责任和解决争议的方法等适用《中华人民共和国民法典》。</w:t>
      </w:r>
    </w:p>
    <w:p>
      <w:pPr>
        <w:pStyle w:val="31"/>
        <w:numPr>
          <w:ilvl w:val="2"/>
          <w:numId w:val="16"/>
        </w:numPr>
        <w:ind w:firstLine="482"/>
        <w:rPr>
          <w:rFonts w:cs="宋体"/>
          <w:highlight w:val="none"/>
        </w:rPr>
      </w:pPr>
      <w:bookmarkStart w:id="725" w:name="_Toc31124"/>
      <w:bookmarkStart w:id="726" w:name="_Toc22276"/>
      <w:r>
        <w:rPr>
          <w:rFonts w:hint="eastAsia" w:cs="宋体"/>
          <w:highlight w:val="none"/>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32"/>
        <w:numPr>
          <w:ilvl w:val="3"/>
          <w:numId w:val="0"/>
        </w:numPr>
        <w:ind w:firstLine="480" w:firstLineChars="200"/>
        <w:rPr>
          <w:rFonts w:cs="宋体"/>
          <w:highlight w:val="none"/>
        </w:rPr>
      </w:pPr>
      <w:bookmarkStart w:id="727" w:name="_Toc217446071"/>
      <w:r>
        <w:rPr>
          <w:rFonts w:hint="eastAsia" w:cs="宋体"/>
          <w:highlight w:val="none"/>
        </w:rPr>
        <w:t>详见招标文件第六章。</w:t>
      </w:r>
    </w:p>
    <w:bookmarkEnd w:id="603"/>
    <w:bookmarkEnd w:id="604"/>
    <w:bookmarkEnd w:id="727"/>
    <w:p>
      <w:pPr>
        <w:pStyle w:val="31"/>
        <w:numPr>
          <w:ilvl w:val="2"/>
          <w:numId w:val="16"/>
        </w:numPr>
        <w:ind w:firstLine="482"/>
        <w:rPr>
          <w:rFonts w:cs="宋体"/>
          <w:highlight w:val="none"/>
        </w:rPr>
      </w:pPr>
      <w:bookmarkStart w:id="728" w:name="_Toc308164818"/>
      <w:bookmarkStart w:id="729" w:name="_Toc21712"/>
      <w:bookmarkStart w:id="730" w:name="_Toc17896"/>
      <w:bookmarkStart w:id="731" w:name="_Toc16716"/>
      <w:bookmarkStart w:id="732" w:name="_Toc3266"/>
      <w:bookmarkStart w:id="733" w:name="_Toc217446074"/>
      <w:bookmarkStart w:id="734" w:name="_Toc327196297"/>
      <w:bookmarkStart w:id="735" w:name="_Toc16219"/>
      <w:bookmarkStart w:id="736" w:name="_Toc183582243"/>
      <w:bookmarkStart w:id="737" w:name="_Toc183682380"/>
      <w:r>
        <w:rPr>
          <w:rFonts w:hint="eastAsia" w:cs="宋体"/>
          <w:highlight w:val="none"/>
        </w:rPr>
        <w:t>资金支付</w:t>
      </w:r>
      <w:bookmarkEnd w:id="728"/>
      <w:r>
        <w:rPr>
          <w:rFonts w:hint="eastAsia" w:cs="宋体"/>
          <w:highlight w:val="none"/>
        </w:rPr>
        <w:t>方式、时间、条件</w:t>
      </w:r>
      <w:bookmarkEnd w:id="729"/>
      <w:bookmarkEnd w:id="730"/>
      <w:bookmarkEnd w:id="731"/>
      <w:bookmarkEnd w:id="732"/>
    </w:p>
    <w:p>
      <w:pPr>
        <w:pStyle w:val="32"/>
        <w:ind w:firstLine="480"/>
        <w:rPr>
          <w:rFonts w:cs="宋体"/>
          <w:highlight w:val="none"/>
        </w:rPr>
      </w:pPr>
      <w:r>
        <w:rPr>
          <w:rFonts w:hint="eastAsia" w:cs="宋体"/>
          <w:highlight w:val="none"/>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32"/>
        <w:ind w:firstLine="480"/>
        <w:rPr>
          <w:rFonts w:cs="宋体"/>
          <w:highlight w:val="none"/>
        </w:rPr>
      </w:pPr>
      <w:r>
        <w:rPr>
          <w:rFonts w:hint="eastAsia" w:cs="宋体"/>
          <w:highlight w:val="none"/>
        </w:rPr>
        <w:t>采购资金的支付时间：详见招标文件第六章。</w:t>
      </w:r>
    </w:p>
    <w:p>
      <w:pPr>
        <w:pStyle w:val="32"/>
        <w:ind w:firstLine="480"/>
        <w:rPr>
          <w:rFonts w:cs="宋体"/>
          <w:highlight w:val="none"/>
        </w:rPr>
      </w:pPr>
      <w:r>
        <w:rPr>
          <w:rFonts w:hint="eastAsia" w:cs="宋体"/>
          <w:highlight w:val="none"/>
        </w:rPr>
        <w:t>采购资金的支付条件：详见招标文件第六章。</w:t>
      </w:r>
    </w:p>
    <w:p>
      <w:pPr>
        <w:pStyle w:val="50"/>
        <w:spacing w:before="120" w:after="120"/>
        <w:rPr>
          <w:highlight w:val="none"/>
        </w:rPr>
      </w:pPr>
      <w:bookmarkStart w:id="738" w:name="_Toc15972"/>
      <w:bookmarkStart w:id="739" w:name="_Toc27770"/>
      <w:bookmarkStart w:id="740" w:name="_Toc21027"/>
      <w:bookmarkStart w:id="741" w:name="_Toc3955"/>
      <w:r>
        <w:rPr>
          <w:rFonts w:hint="eastAsia"/>
          <w:highlight w:val="none"/>
        </w:rPr>
        <w:t>投标纪律要求</w:t>
      </w:r>
      <w:bookmarkEnd w:id="733"/>
      <w:bookmarkEnd w:id="734"/>
      <w:bookmarkEnd w:id="735"/>
      <w:bookmarkEnd w:id="738"/>
      <w:bookmarkEnd w:id="739"/>
      <w:bookmarkEnd w:id="740"/>
      <w:bookmarkEnd w:id="741"/>
    </w:p>
    <w:p>
      <w:pPr>
        <w:pStyle w:val="33"/>
        <w:rPr>
          <w:rFonts w:cs="宋体"/>
          <w:highlight w:val="none"/>
        </w:rPr>
      </w:pPr>
      <w:bookmarkStart w:id="742" w:name="_Toc308084609"/>
      <w:bookmarkStart w:id="743" w:name="_Toc17887"/>
      <w:bookmarkStart w:id="744" w:name="_Toc217446075"/>
      <w:bookmarkStart w:id="745" w:name="_Toc6284"/>
      <w:bookmarkStart w:id="746" w:name="_Toc327196298"/>
      <w:bookmarkStart w:id="747" w:name="_Toc1828"/>
      <w:bookmarkStart w:id="748" w:name="_Toc10754"/>
      <w:bookmarkStart w:id="749" w:name="_Toc309897527"/>
      <w:bookmarkStart w:id="750" w:name="_Toc31498"/>
      <w:bookmarkStart w:id="751" w:name="_Toc319440154"/>
      <w:bookmarkStart w:id="752" w:name="_Toc319439912"/>
      <w:bookmarkStart w:id="753" w:name="_Toc27399"/>
      <w:bookmarkStart w:id="754" w:name="_Toc5014"/>
      <w:bookmarkStart w:id="755" w:name="_Toc20490"/>
      <w:bookmarkStart w:id="756" w:name="_Toc308188164"/>
      <w:bookmarkStart w:id="757" w:name="_Toc11074"/>
      <w:bookmarkStart w:id="758" w:name="_Toc307564864"/>
      <w:bookmarkStart w:id="759" w:name="_Toc307501121"/>
      <w:bookmarkStart w:id="760" w:name="_Toc21018"/>
      <w:bookmarkStart w:id="761" w:name="_Toc30964"/>
      <w:r>
        <w:rPr>
          <w:rFonts w:hint="eastAsia" w:cs="宋体"/>
          <w:highlight w:val="none"/>
        </w:rPr>
        <w:t>投标人不得具有的情形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Pr>
          <w:rFonts w:hint="eastAsia" w:cs="宋体"/>
          <w:highlight w:val="none"/>
        </w:rPr>
        <w:t>：</w:t>
      </w:r>
    </w:p>
    <w:p>
      <w:pPr>
        <w:pStyle w:val="41"/>
        <w:numPr>
          <w:ilvl w:val="1"/>
          <w:numId w:val="17"/>
        </w:numPr>
        <w:ind w:firstLine="480"/>
        <w:rPr>
          <w:rFonts w:cs="宋体"/>
          <w:highlight w:val="none"/>
        </w:rPr>
      </w:pPr>
      <w:r>
        <w:rPr>
          <w:rFonts w:hint="eastAsia" w:cs="宋体"/>
          <w:highlight w:val="none"/>
        </w:rPr>
        <w:t>提供虚假材料谋取中标；</w:t>
      </w:r>
    </w:p>
    <w:p>
      <w:pPr>
        <w:pStyle w:val="41"/>
        <w:numPr>
          <w:ilvl w:val="1"/>
          <w:numId w:val="17"/>
        </w:numPr>
        <w:ind w:firstLine="480"/>
        <w:rPr>
          <w:rFonts w:cs="宋体"/>
          <w:highlight w:val="none"/>
        </w:rPr>
      </w:pPr>
      <w:r>
        <w:rPr>
          <w:rFonts w:hint="eastAsia" w:cs="宋体"/>
          <w:highlight w:val="none"/>
        </w:rPr>
        <w:t>采取不正当手段诋毁、排挤其他投标人；</w:t>
      </w:r>
    </w:p>
    <w:p>
      <w:pPr>
        <w:pStyle w:val="41"/>
        <w:numPr>
          <w:ilvl w:val="1"/>
          <w:numId w:val="17"/>
        </w:numPr>
        <w:ind w:firstLine="480"/>
        <w:rPr>
          <w:rFonts w:cs="宋体"/>
          <w:highlight w:val="none"/>
        </w:rPr>
      </w:pPr>
      <w:r>
        <w:rPr>
          <w:rFonts w:hint="eastAsia" w:cs="宋体"/>
          <w:highlight w:val="none"/>
        </w:rPr>
        <w:t>与招标采购单位、其他投标人恶意串通；</w:t>
      </w:r>
    </w:p>
    <w:p>
      <w:pPr>
        <w:pStyle w:val="41"/>
        <w:numPr>
          <w:ilvl w:val="1"/>
          <w:numId w:val="17"/>
        </w:numPr>
        <w:ind w:firstLine="480"/>
        <w:rPr>
          <w:rFonts w:cs="宋体"/>
          <w:highlight w:val="none"/>
        </w:rPr>
      </w:pPr>
      <w:r>
        <w:rPr>
          <w:rFonts w:hint="eastAsia" w:cs="宋体"/>
          <w:highlight w:val="none"/>
        </w:rPr>
        <w:t>向招标采购单位、评标委员会成员行贿或者提供其他不正当利益；</w:t>
      </w:r>
    </w:p>
    <w:p>
      <w:pPr>
        <w:pStyle w:val="41"/>
        <w:numPr>
          <w:ilvl w:val="1"/>
          <w:numId w:val="17"/>
        </w:numPr>
        <w:ind w:firstLine="480"/>
        <w:rPr>
          <w:rFonts w:cs="宋体"/>
          <w:highlight w:val="none"/>
        </w:rPr>
      </w:pPr>
      <w:r>
        <w:rPr>
          <w:rFonts w:hint="eastAsia" w:cs="宋体"/>
          <w:highlight w:val="none"/>
        </w:rPr>
        <w:t>在招标过程中与招标采购单位进行协商谈判；</w:t>
      </w:r>
    </w:p>
    <w:p>
      <w:pPr>
        <w:pStyle w:val="41"/>
        <w:numPr>
          <w:ilvl w:val="1"/>
          <w:numId w:val="17"/>
        </w:numPr>
        <w:ind w:firstLine="480"/>
        <w:rPr>
          <w:rFonts w:cs="宋体"/>
          <w:highlight w:val="none"/>
        </w:rPr>
      </w:pPr>
      <w:r>
        <w:rPr>
          <w:rFonts w:hint="eastAsia" w:cs="宋体"/>
          <w:highlight w:val="none"/>
        </w:rPr>
        <w:t>中标或者成交后无正当理由拒不与采购人签订政府采购合同；</w:t>
      </w:r>
    </w:p>
    <w:p>
      <w:pPr>
        <w:pStyle w:val="41"/>
        <w:numPr>
          <w:ilvl w:val="1"/>
          <w:numId w:val="17"/>
        </w:numPr>
        <w:ind w:firstLine="480"/>
        <w:rPr>
          <w:rFonts w:cs="宋体"/>
          <w:highlight w:val="none"/>
        </w:rPr>
      </w:pPr>
      <w:r>
        <w:rPr>
          <w:rFonts w:hint="eastAsia" w:cs="宋体"/>
          <w:highlight w:val="none"/>
        </w:rPr>
        <w:t>未按照采购文件确定的事项签订政府采购合同；</w:t>
      </w:r>
    </w:p>
    <w:p>
      <w:pPr>
        <w:pStyle w:val="41"/>
        <w:numPr>
          <w:ilvl w:val="1"/>
          <w:numId w:val="17"/>
        </w:numPr>
        <w:ind w:firstLine="480"/>
        <w:rPr>
          <w:rFonts w:cs="宋体"/>
          <w:highlight w:val="none"/>
        </w:rPr>
      </w:pPr>
      <w:r>
        <w:rPr>
          <w:rFonts w:hint="eastAsia" w:cs="宋体"/>
          <w:highlight w:val="none"/>
        </w:rPr>
        <w:t>将政府采购合同转包或者违规分包；</w:t>
      </w:r>
    </w:p>
    <w:p>
      <w:pPr>
        <w:pStyle w:val="41"/>
        <w:numPr>
          <w:ilvl w:val="1"/>
          <w:numId w:val="17"/>
        </w:numPr>
        <w:ind w:firstLine="480"/>
        <w:rPr>
          <w:rFonts w:cs="宋体"/>
          <w:highlight w:val="none"/>
        </w:rPr>
      </w:pPr>
      <w:r>
        <w:rPr>
          <w:rFonts w:hint="eastAsia" w:cs="宋体"/>
          <w:highlight w:val="none"/>
        </w:rPr>
        <w:t>提供假冒伪劣产品；</w:t>
      </w:r>
    </w:p>
    <w:p>
      <w:pPr>
        <w:pStyle w:val="41"/>
        <w:numPr>
          <w:ilvl w:val="1"/>
          <w:numId w:val="17"/>
        </w:numPr>
        <w:ind w:firstLine="480"/>
        <w:rPr>
          <w:rFonts w:cs="宋体"/>
          <w:highlight w:val="none"/>
        </w:rPr>
      </w:pPr>
      <w:r>
        <w:rPr>
          <w:rFonts w:hint="eastAsia" w:cs="宋体"/>
          <w:highlight w:val="none"/>
        </w:rPr>
        <w:t>擅自变更、中止或者终止政府采购合同；</w:t>
      </w:r>
    </w:p>
    <w:p>
      <w:pPr>
        <w:pStyle w:val="41"/>
        <w:numPr>
          <w:ilvl w:val="1"/>
          <w:numId w:val="17"/>
        </w:numPr>
        <w:ind w:firstLine="480"/>
        <w:rPr>
          <w:rFonts w:cs="宋体"/>
          <w:highlight w:val="none"/>
        </w:rPr>
      </w:pPr>
      <w:r>
        <w:rPr>
          <w:rFonts w:hint="eastAsia" w:cs="宋体"/>
          <w:highlight w:val="none"/>
        </w:rPr>
        <w:t>拒绝有关部门的监督检查或者向监督检查部门提供虚假情况；</w:t>
      </w:r>
    </w:p>
    <w:p>
      <w:pPr>
        <w:pStyle w:val="41"/>
        <w:numPr>
          <w:ilvl w:val="1"/>
          <w:numId w:val="17"/>
        </w:numPr>
        <w:ind w:firstLine="480"/>
        <w:rPr>
          <w:rFonts w:cs="宋体"/>
          <w:highlight w:val="none"/>
        </w:rPr>
      </w:pPr>
      <w:r>
        <w:rPr>
          <w:rFonts w:hint="eastAsia" w:cs="宋体"/>
          <w:highlight w:val="none"/>
        </w:rPr>
        <w:t>法律法规规定的其他情形。</w:t>
      </w:r>
    </w:p>
    <w:p>
      <w:pPr>
        <w:pStyle w:val="29"/>
        <w:ind w:firstLine="480" w:firstLineChars="200"/>
        <w:rPr>
          <w:rFonts w:cs="宋体"/>
          <w:highlight w:val="none"/>
        </w:rPr>
      </w:pPr>
      <w:bookmarkStart w:id="762" w:name="_Toc525"/>
      <w:bookmarkStart w:id="763" w:name="_Toc8765"/>
      <w:bookmarkStart w:id="764" w:name="_Toc20327"/>
      <w:bookmarkStart w:id="765" w:name="_Toc217446078"/>
      <w:r>
        <w:rPr>
          <w:rFonts w:hint="eastAsia" w:cs="宋体"/>
          <w:highlight w:val="none"/>
        </w:rPr>
        <w:t>投标人有上述情形的，按照规定追究法律责任，具备(一)～(十)条情形之一的，同时将取消中标资格或者认定中标无效。</w:t>
      </w:r>
    </w:p>
    <w:bookmarkEnd w:id="762"/>
    <w:bookmarkEnd w:id="763"/>
    <w:bookmarkEnd w:id="764"/>
    <w:p>
      <w:pPr>
        <w:pStyle w:val="50"/>
        <w:spacing w:before="120" w:after="120"/>
        <w:rPr>
          <w:highlight w:val="none"/>
        </w:rPr>
      </w:pPr>
      <w:bookmarkStart w:id="766" w:name="_Toc32392"/>
      <w:r>
        <w:rPr>
          <w:rFonts w:hint="eastAsia"/>
          <w:highlight w:val="none"/>
        </w:rPr>
        <w:t>其他</w:t>
      </w:r>
      <w:bookmarkEnd w:id="766"/>
    </w:p>
    <w:p>
      <w:pPr>
        <w:pStyle w:val="31"/>
        <w:numPr>
          <w:ilvl w:val="2"/>
          <w:numId w:val="18"/>
        </w:numPr>
        <w:ind w:firstLine="482"/>
        <w:rPr>
          <w:rFonts w:cs="宋体"/>
          <w:highlight w:val="none"/>
        </w:rPr>
      </w:pPr>
      <w:bookmarkStart w:id="767" w:name="_Toc24434"/>
      <w:bookmarkStart w:id="768" w:name="_Toc414"/>
      <w:bookmarkStart w:id="769" w:name="_Toc24165"/>
      <w:bookmarkStart w:id="770" w:name="_Toc12421"/>
      <w:bookmarkStart w:id="771" w:name="_Toc1652"/>
      <w:bookmarkStart w:id="772" w:name="_Toc22507"/>
      <w:bookmarkStart w:id="773" w:name="_Toc21424"/>
      <w:bookmarkStart w:id="774" w:name="_Toc327196301"/>
      <w:r>
        <w:rPr>
          <w:rFonts w:hint="eastAsia" w:cs="宋体"/>
          <w:highlight w:val="none"/>
        </w:rPr>
        <w:t>询问</w:t>
      </w:r>
      <w:bookmarkEnd w:id="767"/>
      <w:bookmarkEnd w:id="768"/>
      <w:bookmarkEnd w:id="769"/>
      <w:bookmarkEnd w:id="770"/>
      <w:bookmarkEnd w:id="771"/>
      <w:r>
        <w:rPr>
          <w:rFonts w:hint="eastAsia" w:cs="宋体"/>
          <w:highlight w:val="none"/>
        </w:rPr>
        <w:t>、质疑和投诉</w:t>
      </w:r>
      <w:bookmarkEnd w:id="772"/>
    </w:p>
    <w:bookmarkEnd w:id="736"/>
    <w:bookmarkEnd w:id="737"/>
    <w:bookmarkEnd w:id="765"/>
    <w:bookmarkEnd w:id="773"/>
    <w:bookmarkEnd w:id="774"/>
    <w:p>
      <w:pPr>
        <w:pStyle w:val="33"/>
        <w:rPr>
          <w:rFonts w:cs="宋体"/>
          <w:highlight w:val="none"/>
        </w:rPr>
      </w:pPr>
      <w:r>
        <w:rPr>
          <w:rFonts w:hint="eastAsia" w:cs="宋体"/>
          <w:highlight w:val="none"/>
        </w:rPr>
        <w:t>具体详见投标人须知前附表。</w:t>
      </w:r>
    </w:p>
    <w:p>
      <w:pPr>
        <w:pStyle w:val="31"/>
        <w:numPr>
          <w:ilvl w:val="2"/>
          <w:numId w:val="18"/>
        </w:numPr>
        <w:ind w:firstLine="482"/>
        <w:rPr>
          <w:rFonts w:cs="宋体"/>
          <w:highlight w:val="none"/>
        </w:rPr>
      </w:pPr>
      <w:bookmarkStart w:id="775" w:name="_Toc22454"/>
      <w:bookmarkStart w:id="776" w:name="_Toc8852"/>
      <w:bookmarkStart w:id="777" w:name="_Toc3323"/>
      <w:bookmarkStart w:id="778" w:name="_Toc27417"/>
      <w:r>
        <w:rPr>
          <w:rFonts w:hint="eastAsia" w:cs="宋体"/>
          <w:highlight w:val="none"/>
        </w:rPr>
        <w:t>关于行贿犯罪档案查询工作的规定</w:t>
      </w:r>
      <w:bookmarkEnd w:id="775"/>
      <w:bookmarkEnd w:id="776"/>
      <w:bookmarkEnd w:id="777"/>
      <w:bookmarkEnd w:id="778"/>
    </w:p>
    <w:p>
      <w:pPr>
        <w:pStyle w:val="33"/>
        <w:rPr>
          <w:rFonts w:cs="宋体"/>
          <w:highlight w:val="none"/>
        </w:rPr>
      </w:pPr>
      <w:bookmarkStart w:id="779" w:name="_Toc25217"/>
      <w:bookmarkStart w:id="780" w:name="_Toc24870"/>
      <w:bookmarkStart w:id="781" w:name="_Toc5589"/>
      <w:r>
        <w:rPr>
          <w:rFonts w:hint="eastAsia" w:cs="宋体"/>
          <w:highlight w:val="none"/>
        </w:rPr>
        <w:t>因国家检察机关职务犯罪侦查部门转隶工作已经完成，供应商参与采购活动时须按照采购文件要求提供承诺函或由采购代理机构通过“中国裁判文书网”查询，并将查询记录存档。</w:t>
      </w:r>
    </w:p>
    <w:p>
      <w:pPr>
        <w:pStyle w:val="31"/>
        <w:numPr>
          <w:ilvl w:val="2"/>
          <w:numId w:val="18"/>
        </w:numPr>
        <w:ind w:firstLine="482"/>
        <w:rPr>
          <w:rFonts w:cs="宋体"/>
          <w:highlight w:val="none"/>
        </w:rPr>
      </w:pPr>
      <w:bookmarkStart w:id="782" w:name="_Toc21330"/>
      <w:r>
        <w:rPr>
          <w:rFonts w:hint="eastAsia" w:cs="宋体"/>
          <w:highlight w:val="none"/>
        </w:rPr>
        <w:t>串通投标的情形</w:t>
      </w:r>
      <w:bookmarkEnd w:id="779"/>
      <w:bookmarkEnd w:id="780"/>
      <w:bookmarkEnd w:id="782"/>
    </w:p>
    <w:p>
      <w:pPr>
        <w:pStyle w:val="33"/>
        <w:rPr>
          <w:rFonts w:cs="宋体"/>
          <w:highlight w:val="none"/>
        </w:rPr>
      </w:pPr>
      <w:r>
        <w:rPr>
          <w:rFonts w:hint="eastAsia" w:cs="宋体"/>
          <w:highlight w:val="none"/>
        </w:rPr>
        <w:t>有下列情形之一的，视为投标人串通投标，其投标无效。</w:t>
      </w:r>
    </w:p>
    <w:p>
      <w:pPr>
        <w:pStyle w:val="33"/>
        <w:rPr>
          <w:rFonts w:cs="宋体"/>
          <w:highlight w:val="none"/>
        </w:rPr>
      </w:pPr>
      <w:r>
        <w:rPr>
          <w:rFonts w:hint="eastAsia" w:cs="宋体"/>
          <w:highlight w:val="none"/>
        </w:rPr>
        <w:t>1.不同投标人的投标文件由同一单位或者个人编制；</w:t>
      </w:r>
    </w:p>
    <w:p>
      <w:pPr>
        <w:pStyle w:val="33"/>
        <w:rPr>
          <w:rFonts w:cs="宋体"/>
          <w:highlight w:val="none"/>
        </w:rPr>
      </w:pPr>
      <w:r>
        <w:rPr>
          <w:rFonts w:hint="eastAsia" w:cs="宋体"/>
          <w:highlight w:val="none"/>
        </w:rPr>
        <w:t>2.不同投标人委托同一单位或者个人办理投标事宜；</w:t>
      </w:r>
    </w:p>
    <w:p>
      <w:pPr>
        <w:pStyle w:val="33"/>
        <w:rPr>
          <w:rFonts w:cs="宋体"/>
          <w:highlight w:val="none"/>
        </w:rPr>
      </w:pPr>
      <w:r>
        <w:rPr>
          <w:rFonts w:hint="eastAsia" w:cs="宋体"/>
          <w:highlight w:val="none"/>
        </w:rPr>
        <w:t>3.不同投标人的投标文件载明的项目管理成员或者联系人员为同一人；</w:t>
      </w:r>
    </w:p>
    <w:p>
      <w:pPr>
        <w:pStyle w:val="33"/>
        <w:rPr>
          <w:rFonts w:cs="宋体"/>
          <w:highlight w:val="none"/>
        </w:rPr>
      </w:pPr>
      <w:r>
        <w:rPr>
          <w:rFonts w:hint="eastAsia" w:cs="宋体"/>
          <w:highlight w:val="none"/>
        </w:rPr>
        <w:t>4.不同投标人的投标文件异常一致或者投标报价呈规律性差异；</w:t>
      </w:r>
    </w:p>
    <w:p>
      <w:pPr>
        <w:pStyle w:val="33"/>
        <w:rPr>
          <w:rFonts w:cs="宋体"/>
          <w:highlight w:val="none"/>
        </w:rPr>
      </w:pPr>
      <w:r>
        <w:rPr>
          <w:rFonts w:hint="eastAsia" w:cs="宋体"/>
          <w:highlight w:val="none"/>
        </w:rPr>
        <w:t>5.不同投标人的投标文件相互混装。</w:t>
      </w:r>
    </w:p>
    <w:p>
      <w:pPr>
        <w:pStyle w:val="31"/>
        <w:numPr>
          <w:ilvl w:val="2"/>
          <w:numId w:val="18"/>
        </w:numPr>
        <w:ind w:firstLine="482"/>
        <w:rPr>
          <w:rFonts w:cs="宋体"/>
          <w:highlight w:val="none"/>
        </w:rPr>
      </w:pPr>
      <w:bookmarkStart w:id="783" w:name="_Toc10983"/>
      <w:bookmarkStart w:id="784" w:name="_Toc32334"/>
      <w:bookmarkStart w:id="785" w:name="_Toc22192"/>
      <w:bookmarkStart w:id="786" w:name="_Toc5160"/>
      <w:bookmarkStart w:id="787" w:name="_Toc17038"/>
      <w:r>
        <w:rPr>
          <w:rFonts w:hint="eastAsia" w:cs="宋体"/>
          <w:highlight w:val="none"/>
        </w:rPr>
        <w:t>投标人信用信息查询</w:t>
      </w:r>
      <w:bookmarkEnd w:id="783"/>
      <w:bookmarkEnd w:id="784"/>
      <w:bookmarkEnd w:id="785"/>
      <w:bookmarkEnd w:id="786"/>
      <w:bookmarkEnd w:id="787"/>
    </w:p>
    <w:p>
      <w:pPr>
        <w:pStyle w:val="41"/>
        <w:numPr>
          <w:ilvl w:val="1"/>
          <w:numId w:val="0"/>
        </w:numPr>
        <w:ind w:firstLine="480" w:firstLineChars="200"/>
        <w:rPr>
          <w:rFonts w:cs="宋体"/>
          <w:highlight w:val="none"/>
        </w:rPr>
      </w:pPr>
      <w:r>
        <w:rPr>
          <w:rFonts w:hint="eastAsia" w:cs="宋体"/>
          <w:highlight w:val="none"/>
        </w:rPr>
        <w:t>1.投标人信用信息查询渠道</w:t>
      </w:r>
    </w:p>
    <w:p>
      <w:pPr>
        <w:pStyle w:val="33"/>
        <w:rPr>
          <w:rFonts w:cs="宋体"/>
          <w:highlight w:val="none"/>
        </w:rPr>
      </w:pPr>
      <w:r>
        <w:rPr>
          <w:rFonts w:hint="eastAsia" w:cs="宋体"/>
          <w:highlight w:val="none"/>
        </w:rPr>
        <w:t>“信用中国”网站(www.creditchina.gov.cn)、“中国政府采购网”(www.ccgp.gov.cn)等。</w:t>
      </w:r>
    </w:p>
    <w:p>
      <w:pPr>
        <w:pStyle w:val="41"/>
        <w:numPr>
          <w:ilvl w:val="1"/>
          <w:numId w:val="0"/>
        </w:numPr>
        <w:ind w:firstLine="480" w:firstLineChars="200"/>
        <w:rPr>
          <w:rFonts w:cs="宋体"/>
          <w:highlight w:val="none"/>
        </w:rPr>
      </w:pPr>
      <w:r>
        <w:rPr>
          <w:rFonts w:hint="eastAsia" w:cs="宋体"/>
          <w:highlight w:val="none"/>
        </w:rPr>
        <w:t>2.投标人信用信息查询截止时点</w:t>
      </w:r>
    </w:p>
    <w:p>
      <w:pPr>
        <w:pStyle w:val="33"/>
        <w:rPr>
          <w:rFonts w:cs="宋体"/>
          <w:highlight w:val="none"/>
        </w:rPr>
      </w:pPr>
      <w:r>
        <w:rPr>
          <w:rFonts w:hint="eastAsia" w:cs="宋体"/>
          <w:highlight w:val="none"/>
        </w:rPr>
        <w:t>信用信息查询在资格审查阶段完成。</w:t>
      </w:r>
    </w:p>
    <w:p>
      <w:pPr>
        <w:pStyle w:val="41"/>
        <w:numPr>
          <w:ilvl w:val="1"/>
          <w:numId w:val="0"/>
        </w:numPr>
        <w:ind w:firstLine="480" w:firstLineChars="200"/>
        <w:rPr>
          <w:rFonts w:cs="宋体"/>
          <w:highlight w:val="none"/>
        </w:rPr>
      </w:pPr>
      <w:r>
        <w:rPr>
          <w:rFonts w:hint="eastAsia" w:cs="宋体"/>
          <w:highlight w:val="none"/>
        </w:rPr>
        <w:t>3.投标人信用信息查询记录和证据留存的具体方式</w:t>
      </w:r>
    </w:p>
    <w:p>
      <w:pPr>
        <w:pStyle w:val="33"/>
        <w:rPr>
          <w:rFonts w:cs="宋体"/>
          <w:highlight w:val="none"/>
        </w:rPr>
      </w:pPr>
      <w:r>
        <w:rPr>
          <w:rFonts w:hint="eastAsia" w:cs="宋体"/>
          <w:highlight w:val="none"/>
        </w:rPr>
        <w:t>采购代理机构通过“信用中国”网站、“中国政府采购网”等渠道对供应商进行信用记录查询，并将查询记录存档。</w:t>
      </w:r>
    </w:p>
    <w:p>
      <w:pPr>
        <w:pStyle w:val="41"/>
        <w:numPr>
          <w:ilvl w:val="1"/>
          <w:numId w:val="0"/>
        </w:numPr>
        <w:ind w:firstLine="480" w:firstLineChars="200"/>
        <w:rPr>
          <w:rFonts w:cs="宋体"/>
          <w:highlight w:val="none"/>
        </w:rPr>
      </w:pPr>
      <w:r>
        <w:rPr>
          <w:rFonts w:hint="eastAsia" w:cs="宋体"/>
          <w:highlight w:val="none"/>
        </w:rPr>
        <w:t>4.投标人信用信息的使用：凡被列入失信被执行人、重大税收违法案件当事人名单、政府采购严重违法失信行为记录名单的，视为存在不良信用记录，参与本项目的将被拒绝。</w:t>
      </w:r>
    </w:p>
    <w:p>
      <w:pPr>
        <w:pStyle w:val="31"/>
        <w:numPr>
          <w:ilvl w:val="2"/>
          <w:numId w:val="18"/>
        </w:numPr>
        <w:ind w:firstLine="482"/>
        <w:rPr>
          <w:rFonts w:cs="宋体"/>
          <w:highlight w:val="none"/>
        </w:rPr>
      </w:pPr>
      <w:bookmarkStart w:id="788" w:name="_Toc2239"/>
      <w:r>
        <w:rPr>
          <w:rFonts w:hint="eastAsia" w:cs="宋体"/>
          <w:highlight w:val="none"/>
        </w:rPr>
        <w:t>保密</w:t>
      </w:r>
      <w:bookmarkEnd w:id="788"/>
    </w:p>
    <w:p>
      <w:pPr>
        <w:pStyle w:val="11"/>
        <w:tabs>
          <w:tab w:val="left" w:pos="1134"/>
          <w:tab w:val="clear" w:pos="0"/>
        </w:tabs>
        <w:ind w:firstLine="480"/>
        <w:rPr>
          <w:rFonts w:cs="宋体"/>
          <w:highlight w:val="none"/>
        </w:rPr>
      </w:pPr>
      <w:r>
        <w:rPr>
          <w:rFonts w:hint="eastAsia" w:cs="宋体"/>
          <w:highlight w:val="none"/>
        </w:rPr>
        <w:t>1.各采购当事人不得透露有关成功获取采购文件的潜在投标人的任何情况。</w:t>
      </w:r>
    </w:p>
    <w:p>
      <w:pPr>
        <w:pStyle w:val="11"/>
        <w:tabs>
          <w:tab w:val="left" w:pos="1134"/>
          <w:tab w:val="clear" w:pos="0"/>
        </w:tabs>
        <w:ind w:firstLine="480"/>
        <w:rPr>
          <w:rFonts w:cs="宋体"/>
          <w:highlight w:val="none"/>
        </w:rPr>
      </w:pPr>
      <w:r>
        <w:rPr>
          <w:rFonts w:hint="eastAsia" w:cs="宋体"/>
          <w:highlight w:val="none"/>
        </w:rPr>
        <w:t>2.投标人有关投标文件的审查、澄清、评估和比较以及合同授予意向等情况均不得对外透露。</w:t>
      </w:r>
    </w:p>
    <w:p>
      <w:pPr>
        <w:pStyle w:val="31"/>
        <w:numPr>
          <w:ilvl w:val="2"/>
          <w:numId w:val="18"/>
        </w:numPr>
        <w:ind w:firstLine="482"/>
        <w:rPr>
          <w:rFonts w:cs="宋体"/>
          <w:highlight w:val="none"/>
        </w:rPr>
      </w:pPr>
      <w:bookmarkStart w:id="789" w:name="_Toc28063"/>
      <w:r>
        <w:rPr>
          <w:rFonts w:hint="eastAsia" w:cs="宋体"/>
          <w:highlight w:val="none"/>
        </w:rPr>
        <w:t>回避</w:t>
      </w:r>
      <w:bookmarkEnd w:id="789"/>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在政府采购活动中，采购人员及相关人员与供应商有下列利害关系之一的，应当回避：</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1.参加采购活动前3年内与供应商存在劳动关系；</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2.参加采购活动前3年内担任供应商的董事、监事；</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3.参加采购活动前3年内是供应商的控股股东或者实际控制人；</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4.与供应商的法定代表人或者负责人有夫妻、直系血亲、三代以内旁系血亲或者近姻亲关系；</w:t>
      </w:r>
    </w:p>
    <w:p>
      <w:pPr>
        <w:pStyle w:val="19"/>
        <w:shd w:val="clear" w:color="auto" w:fill="FFFFFF"/>
        <w:spacing w:beforeAutospacing="0" w:afterAutospacing="0"/>
        <w:ind w:firstLine="480" w:firstLineChars="200"/>
        <w:jc w:val="both"/>
        <w:textAlignment w:val="center"/>
        <w:rPr>
          <w:rFonts w:cs="宋体"/>
          <w:kern w:val="2"/>
          <w:highlight w:val="none"/>
        </w:rPr>
      </w:pPr>
      <w:r>
        <w:rPr>
          <w:rFonts w:hint="eastAsia" w:cs="宋体"/>
          <w:kern w:val="2"/>
          <w:highlight w:val="none"/>
        </w:rPr>
        <w:t>5.与供应商有其他可能影响政府采购活动公平、公正进行的关系。</w:t>
      </w:r>
    </w:p>
    <w:p>
      <w:pPr>
        <w:pStyle w:val="11"/>
        <w:tabs>
          <w:tab w:val="left" w:pos="1134"/>
          <w:tab w:val="clear" w:pos="0"/>
        </w:tabs>
        <w:ind w:firstLine="480"/>
        <w:rPr>
          <w:rFonts w:cs="宋体"/>
          <w:highlight w:val="none"/>
        </w:rPr>
      </w:pPr>
      <w:r>
        <w:rPr>
          <w:rFonts w:hint="eastAsia" w:cs="宋体"/>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1"/>
        <w:numPr>
          <w:ilvl w:val="2"/>
          <w:numId w:val="18"/>
        </w:numPr>
        <w:ind w:firstLine="482"/>
        <w:rPr>
          <w:rFonts w:cs="宋体"/>
          <w:highlight w:val="none"/>
        </w:rPr>
      </w:pPr>
      <w:bookmarkStart w:id="790" w:name="_Toc32579"/>
      <w:r>
        <w:rPr>
          <w:rFonts w:hint="eastAsia" w:cs="宋体"/>
          <w:highlight w:val="none"/>
        </w:rPr>
        <w:t>解释说明</w:t>
      </w:r>
      <w:bookmarkEnd w:id="790"/>
    </w:p>
    <w:p>
      <w:pPr>
        <w:pStyle w:val="41"/>
        <w:numPr>
          <w:ilvl w:val="1"/>
          <w:numId w:val="0"/>
        </w:numPr>
        <w:ind w:firstLine="480" w:firstLineChars="200"/>
        <w:rPr>
          <w:rFonts w:cs="宋体"/>
          <w:highlight w:val="none"/>
        </w:rPr>
      </w:pPr>
      <w:r>
        <w:rPr>
          <w:rFonts w:hint="eastAsia" w:cs="宋体"/>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41"/>
        <w:numPr>
          <w:ilvl w:val="1"/>
          <w:numId w:val="0"/>
        </w:numPr>
        <w:ind w:firstLine="480" w:firstLineChars="200"/>
        <w:rPr>
          <w:rFonts w:cs="宋体"/>
          <w:highlight w:val="none"/>
        </w:rPr>
      </w:pPr>
      <w:r>
        <w:rPr>
          <w:rFonts w:hint="eastAsia" w:cs="宋体"/>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1"/>
        <w:numPr>
          <w:ilvl w:val="1"/>
          <w:numId w:val="0"/>
        </w:numPr>
        <w:ind w:firstLine="480" w:firstLineChars="200"/>
        <w:rPr>
          <w:rFonts w:cs="宋体"/>
          <w:highlight w:val="none"/>
        </w:rPr>
      </w:pPr>
      <w:r>
        <w:rPr>
          <w:rFonts w:hint="eastAsia" w:cs="宋体"/>
          <w:highlight w:val="none"/>
        </w:rPr>
        <w:t>3.国家或行业主管部门对供应商和采购产品的技术标准、质量标准和资格资质条件等有强制性规定的，必须符合其要求</w:t>
      </w:r>
      <w:r>
        <w:rPr>
          <w:rFonts w:hint="eastAsia" w:cs="宋体"/>
          <w:b/>
          <w:bCs/>
          <w:highlight w:val="none"/>
        </w:rPr>
        <w:t>(实质性要求)</w:t>
      </w:r>
      <w:r>
        <w:rPr>
          <w:rFonts w:hint="eastAsia" w:cs="宋体"/>
          <w:highlight w:val="none"/>
        </w:rPr>
        <w:t>。</w:t>
      </w:r>
    </w:p>
    <w:p>
      <w:pPr>
        <w:pStyle w:val="41"/>
        <w:numPr>
          <w:ilvl w:val="1"/>
          <w:numId w:val="0"/>
        </w:numPr>
        <w:ind w:firstLine="480" w:firstLineChars="200"/>
        <w:rPr>
          <w:rFonts w:cs="宋体"/>
          <w:highlight w:val="none"/>
        </w:rPr>
      </w:pPr>
      <w:r>
        <w:rPr>
          <w:rFonts w:hint="eastAsia" w:cs="宋体"/>
          <w:highlight w:val="none"/>
        </w:rPr>
        <w:t>4.本项目涉及企业资质、产品认证、人员执业资格等描述与国家最新要求不一致时以最新要求为准。</w:t>
      </w:r>
    </w:p>
    <w:p>
      <w:pPr>
        <w:pStyle w:val="28"/>
        <w:numPr>
          <w:ilvl w:val="0"/>
          <w:numId w:val="12"/>
        </w:numPr>
        <w:spacing w:before="120" w:after="120"/>
        <w:rPr>
          <w:highlight w:val="none"/>
        </w:rPr>
      </w:pPr>
      <w:r>
        <w:rPr>
          <w:rFonts w:hint="eastAsia"/>
          <w:highlight w:val="none"/>
        </w:rPr>
        <w:br w:type="page"/>
      </w:r>
      <w:bookmarkEnd w:id="781"/>
      <w:bookmarkStart w:id="791" w:name="_Toc12541"/>
      <w:bookmarkStart w:id="792" w:name="_Toc4206"/>
      <w:bookmarkStart w:id="793" w:name="_Toc31402"/>
      <w:bookmarkStart w:id="794" w:name="_Toc25961"/>
      <w:bookmarkStart w:id="795" w:name="_Toc29575"/>
      <w:r>
        <w:rPr>
          <w:rFonts w:hint="eastAsia"/>
          <w:highlight w:val="none"/>
        </w:rPr>
        <w:t>投标文件格式</w:t>
      </w:r>
      <w:bookmarkEnd w:id="791"/>
      <w:bookmarkEnd w:id="792"/>
      <w:bookmarkEnd w:id="793"/>
      <w:bookmarkEnd w:id="794"/>
      <w:bookmarkEnd w:id="795"/>
    </w:p>
    <w:p>
      <w:pPr>
        <w:pStyle w:val="54"/>
        <w:ind w:firstLine="480"/>
        <w:rPr>
          <w:highlight w:val="none"/>
        </w:rPr>
      </w:pPr>
      <w:bookmarkStart w:id="796" w:name="_Toc294688711"/>
      <w:bookmarkStart w:id="797" w:name="_Toc211218954"/>
      <w:bookmarkStart w:id="798" w:name="_Toc294701519"/>
      <w:bookmarkStart w:id="799" w:name="_Toc182629023"/>
      <w:bookmarkStart w:id="800" w:name="_Toc439161746"/>
      <w:bookmarkStart w:id="801" w:name="_Toc287367101"/>
      <w:bookmarkStart w:id="802" w:name="_Toc295978802"/>
      <w:bookmarkStart w:id="803" w:name="_Toc16460"/>
      <w:bookmarkStart w:id="804" w:name="_Toc316462354"/>
      <w:bookmarkStart w:id="805" w:name="_Toc182759327"/>
      <w:r>
        <w:rPr>
          <w:rFonts w:hint="eastAsia"/>
          <w:highlight w:val="none"/>
        </w:rPr>
        <w:t>一、本章所制投标文件格式，除格式中明确将该格式作为实质性要求的，一律不具有强制性。</w:t>
      </w:r>
    </w:p>
    <w:p>
      <w:pPr>
        <w:pStyle w:val="54"/>
        <w:ind w:firstLine="480"/>
        <w:rPr>
          <w:highlight w:val="none"/>
        </w:rPr>
      </w:pPr>
      <w:r>
        <w:rPr>
          <w:rFonts w:hint="eastAsia"/>
          <w:highlight w:val="none"/>
        </w:rPr>
        <w:t>二、本章所制投标文件格式有关表格中的备注栏，由投标人根据自身投标情况作解释性说明，不作为必填项。</w:t>
      </w:r>
    </w:p>
    <w:p>
      <w:pPr>
        <w:pStyle w:val="54"/>
        <w:ind w:firstLine="480"/>
        <w:rPr>
          <w:highlight w:val="none"/>
        </w:rPr>
      </w:pPr>
      <w:r>
        <w:rPr>
          <w:rFonts w:hint="eastAsia"/>
          <w:highlight w:val="none"/>
        </w:rPr>
        <w:t>三、本章格式中“注”的内容，供应商可自行决定是否保留在投标文件中，未保留的视为供应商默认接受“注”的内容。</w:t>
      </w:r>
    </w:p>
    <w:p>
      <w:pPr>
        <w:pStyle w:val="54"/>
        <w:ind w:firstLine="480"/>
        <w:rPr>
          <w:highlight w:val="none"/>
        </w:rPr>
      </w:pPr>
      <w:r>
        <w:rPr>
          <w:rFonts w:hint="eastAsia"/>
          <w:highlight w:val="none"/>
        </w:rPr>
        <w:t>四、本章所制投标文件格式中需要填写的相关内容事项，可能会与本采购项目无关，在不改变投标文件原义、不影响本项目采购需求的情况下，投标人可以不予填写，但应当注明。</w:t>
      </w:r>
    </w:p>
    <w:p>
      <w:pPr>
        <w:pStyle w:val="29"/>
        <w:rPr>
          <w:highlight w:val="none"/>
        </w:rPr>
      </w:pPr>
      <w:r>
        <w:rPr>
          <w:rFonts w:hint="eastAsia"/>
          <w:highlight w:val="none"/>
        </w:rPr>
        <w:br w:type="page"/>
      </w:r>
    </w:p>
    <w:p>
      <w:pPr>
        <w:pStyle w:val="42"/>
        <w:rPr>
          <w:highlight w:val="none"/>
        </w:rPr>
      </w:pPr>
      <w:r>
        <w:rPr>
          <w:rFonts w:hint="eastAsia"/>
          <w:highlight w:val="none"/>
        </w:rPr>
        <w:t>附件：密封袋的格式</w:t>
      </w:r>
    </w:p>
    <w:p>
      <w:pPr>
        <w:pStyle w:val="42"/>
        <w:rPr>
          <w:highlight w:val="none"/>
        </w:rPr>
      </w:pPr>
    </w:p>
    <w:p>
      <w:pPr>
        <w:pStyle w:val="42"/>
        <w:rPr>
          <w:highlight w:val="none"/>
        </w:rPr>
      </w:pPr>
    </w:p>
    <w:p>
      <w:pPr>
        <w:pStyle w:val="42"/>
        <w:rPr>
          <w:highlight w:val="none"/>
        </w:rPr>
      </w:pPr>
    </w:p>
    <w:tbl>
      <w:tblPr>
        <w:tblStyle w:val="22"/>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2"/>
              <w:rPr>
                <w:highlight w:val="none"/>
              </w:rPr>
            </w:pPr>
          </w:p>
          <w:p>
            <w:pPr>
              <w:pStyle w:val="42"/>
              <w:ind w:left="2400" w:leftChars="1000"/>
              <w:rPr>
                <w:highlight w:val="none"/>
              </w:rPr>
            </w:pPr>
            <w:r>
              <w:rPr>
                <w:rFonts w:hint="eastAsia"/>
                <w:highlight w:val="none"/>
              </w:rPr>
              <w:t>项目编号：</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ind w:left="2400" w:leftChars="1000"/>
              <w:rPr>
                <w:highlight w:val="none"/>
              </w:rPr>
            </w:pPr>
            <w:r>
              <w:rPr>
                <w:rFonts w:hint="eastAsia"/>
                <w:highlight w:val="none"/>
              </w:rPr>
              <w:t>项目名称：</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rPr>
                <w:highlight w:val="none"/>
              </w:rPr>
            </w:pPr>
          </w:p>
          <w:p>
            <w:pPr>
              <w:pStyle w:val="42"/>
              <w:jc w:val="center"/>
              <w:rPr>
                <w:b/>
                <w:bCs/>
                <w:sz w:val="32"/>
                <w:szCs w:val="32"/>
                <w:highlight w:val="none"/>
              </w:rPr>
            </w:pPr>
            <w:r>
              <w:rPr>
                <w:rFonts w:hint="eastAsia"/>
                <w:b/>
                <w:bCs/>
                <w:sz w:val="32"/>
                <w:szCs w:val="32"/>
                <w:highlight w:val="none"/>
              </w:rPr>
              <w:t>资格、资质性及其他类似效力投标文件/其他投标文件</w:t>
            </w:r>
          </w:p>
          <w:p>
            <w:pPr>
              <w:pStyle w:val="42"/>
              <w:jc w:val="center"/>
              <w:rPr>
                <w:b/>
                <w:bCs/>
                <w:sz w:val="32"/>
                <w:szCs w:val="32"/>
                <w:highlight w:val="none"/>
              </w:rPr>
            </w:pPr>
            <w:r>
              <w:rPr>
                <w:rFonts w:hint="eastAsia"/>
                <w:b/>
                <w:bCs/>
                <w:sz w:val="32"/>
                <w:szCs w:val="32"/>
                <w:highlight w:val="none"/>
              </w:rPr>
              <w:t>/开标一览表</w:t>
            </w:r>
          </w:p>
          <w:p>
            <w:pPr>
              <w:pStyle w:val="42"/>
              <w:rPr>
                <w:highlight w:val="none"/>
              </w:rPr>
            </w:pPr>
          </w:p>
          <w:p>
            <w:pPr>
              <w:pStyle w:val="42"/>
              <w:ind w:left="2400" w:leftChars="1000"/>
              <w:rPr>
                <w:highlight w:val="none"/>
              </w:rPr>
            </w:pPr>
            <w:r>
              <w:rPr>
                <w:rFonts w:hint="eastAsia"/>
                <w:highlight w:val="none"/>
              </w:rPr>
              <w:t>投标人名称：</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ind w:left="2400" w:leftChars="1000"/>
              <w:rPr>
                <w:highlight w:val="none"/>
              </w:rPr>
            </w:pPr>
            <w:r>
              <w:rPr>
                <w:rFonts w:hint="eastAsia"/>
                <w:highlight w:val="none"/>
              </w:rPr>
              <w:t>投标日期：</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42"/>
              <w:rPr>
                <w:highlight w:val="none"/>
              </w:rPr>
            </w:pPr>
          </w:p>
        </w:tc>
      </w:tr>
    </w:tbl>
    <w:p>
      <w:pPr>
        <w:pStyle w:val="42"/>
        <w:rPr>
          <w:highlight w:val="none"/>
        </w:rPr>
      </w:pPr>
      <w:bookmarkStart w:id="806" w:name="_Toc11581"/>
      <w:bookmarkStart w:id="807" w:name="_Toc6994"/>
      <w:r>
        <w:rPr>
          <w:rFonts w:hint="eastAsia"/>
          <w:highlight w:val="none"/>
        </w:rPr>
        <w:br w:type="page"/>
      </w:r>
    </w:p>
    <w:p>
      <w:pPr>
        <w:pStyle w:val="42"/>
        <w:rPr>
          <w:highlight w:val="none"/>
        </w:rPr>
      </w:pPr>
      <w:r>
        <w:rPr>
          <w:rFonts w:hint="eastAsia"/>
          <w:highlight w:val="none"/>
        </w:rPr>
        <w:t>投标文件封面格式</w:t>
      </w:r>
      <w:bookmarkEnd w:id="796"/>
      <w:bookmarkEnd w:id="797"/>
      <w:bookmarkEnd w:id="798"/>
      <w:bookmarkEnd w:id="799"/>
      <w:bookmarkEnd w:id="800"/>
      <w:bookmarkEnd w:id="801"/>
      <w:bookmarkEnd w:id="802"/>
      <w:bookmarkEnd w:id="803"/>
      <w:bookmarkEnd w:id="804"/>
      <w:bookmarkEnd w:id="805"/>
      <w:bookmarkEnd w:id="806"/>
      <w:bookmarkEnd w:id="807"/>
    </w:p>
    <w:p>
      <w:pPr>
        <w:pStyle w:val="42"/>
        <w:rPr>
          <w:highlight w:val="none"/>
        </w:rPr>
      </w:pPr>
      <w:r>
        <w:rPr>
          <w:rFonts w:hint="eastAsia"/>
          <w:highlight w:val="none"/>
          <w:lang w:val="zh-CN"/>
        </w:rPr>
        <mc:AlternateContent>
          <mc:Choice Requires="wps">
            <w:drawing>
              <wp:anchor distT="0" distB="0" distL="114300" distR="114300" simplePos="0" relativeHeight="251663360"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3360;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2"/>
        <w:rPr>
          <w:highlight w:val="none"/>
        </w:rPr>
      </w:pPr>
    </w:p>
    <w:p>
      <w:pPr>
        <w:pStyle w:val="42"/>
        <w:rPr>
          <w:highlight w:val="none"/>
        </w:rPr>
      </w:pPr>
    </w:p>
    <w:p>
      <w:pPr>
        <w:pStyle w:val="42"/>
        <w:rPr>
          <w:highlight w:val="none"/>
        </w:rPr>
      </w:pPr>
    </w:p>
    <w:p>
      <w:pPr>
        <w:pStyle w:val="42"/>
        <w:spacing w:line="360" w:lineRule="auto"/>
        <w:jc w:val="center"/>
        <w:rPr>
          <w:b/>
          <w:bCs/>
          <w:sz w:val="48"/>
          <w:szCs w:val="48"/>
          <w:highlight w:val="none"/>
        </w:rPr>
      </w:pPr>
    </w:p>
    <w:p>
      <w:pPr>
        <w:pStyle w:val="42"/>
        <w:spacing w:line="360" w:lineRule="auto"/>
        <w:jc w:val="center"/>
        <w:rPr>
          <w:b/>
          <w:bCs/>
          <w:sz w:val="48"/>
          <w:szCs w:val="48"/>
          <w:highlight w:val="none"/>
        </w:rPr>
      </w:pPr>
      <w:r>
        <w:rPr>
          <w:rFonts w:hint="eastAsia"/>
          <w:b/>
          <w:bCs/>
          <w:sz w:val="48"/>
          <w:szCs w:val="48"/>
          <w:highlight w:val="none"/>
        </w:rPr>
        <w:t>资格、资质性及其他类似效力投标文件</w:t>
      </w:r>
    </w:p>
    <w:p>
      <w:pPr>
        <w:pStyle w:val="42"/>
        <w:spacing w:line="360" w:lineRule="auto"/>
        <w:jc w:val="center"/>
        <w:rPr>
          <w:b/>
          <w:bCs/>
          <w:sz w:val="48"/>
          <w:szCs w:val="48"/>
          <w:highlight w:val="none"/>
        </w:rPr>
      </w:pPr>
      <w:r>
        <w:rPr>
          <w:rFonts w:hint="eastAsia"/>
          <w:b/>
          <w:bCs/>
          <w:sz w:val="48"/>
          <w:szCs w:val="48"/>
          <w:highlight w:val="none"/>
        </w:rPr>
        <w:t>/其他投标文件</w:t>
      </w:r>
    </w:p>
    <w:p>
      <w:pPr>
        <w:pStyle w:val="42"/>
        <w:rPr>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p>
    <w:p>
      <w:pPr>
        <w:pStyle w:val="42"/>
        <w:spacing w:line="480" w:lineRule="auto"/>
        <w:ind w:left="2400" w:leftChars="1000"/>
        <w:rPr>
          <w:b/>
          <w:bCs/>
          <w:sz w:val="32"/>
          <w:szCs w:val="32"/>
          <w:highlight w:val="none"/>
        </w:rPr>
      </w:pPr>
      <w:r>
        <w:rPr>
          <w:rFonts w:hint="eastAsia"/>
          <w:b/>
          <w:bCs/>
          <w:sz w:val="32"/>
          <w:szCs w:val="32"/>
          <w:highlight w:val="none"/>
        </w:rPr>
        <w:t>项目名称：</w:t>
      </w:r>
      <w:r>
        <w:rPr>
          <w:rFonts w:hint="eastAsia" w:asciiTheme="minorEastAsia" w:hAnsiTheme="minorEastAsia" w:eastAsiaTheme="minorEastAsia" w:cstheme="minorEastAsia"/>
          <w:b/>
          <w:bCs/>
          <w:sz w:val="32"/>
          <w:szCs w:val="32"/>
          <w:highlight w:val="none"/>
          <w:u w:val="single"/>
        </w:rPr>
        <w:t xml:space="preserve">                    </w:t>
      </w:r>
      <w:r>
        <w:rPr>
          <w:rFonts w:hint="eastAsia"/>
          <w:b/>
          <w:bCs/>
          <w:sz w:val="32"/>
          <w:szCs w:val="32"/>
          <w:highlight w:val="none"/>
        </w:rPr>
        <w:t xml:space="preserve">                      </w:t>
      </w:r>
    </w:p>
    <w:p>
      <w:pPr>
        <w:pStyle w:val="42"/>
        <w:spacing w:line="480" w:lineRule="auto"/>
        <w:ind w:left="2400" w:leftChars="1000"/>
        <w:rPr>
          <w:b/>
          <w:bCs/>
          <w:sz w:val="32"/>
          <w:szCs w:val="32"/>
          <w:highlight w:val="none"/>
        </w:rPr>
      </w:pPr>
      <w:r>
        <w:rPr>
          <w:rFonts w:hint="eastAsia"/>
          <w:b/>
          <w:bCs/>
          <w:sz w:val="32"/>
          <w:szCs w:val="32"/>
          <w:highlight w:val="none"/>
        </w:rPr>
        <w:t>项目编号：</w:t>
      </w:r>
      <w:r>
        <w:rPr>
          <w:rFonts w:hint="eastAsia" w:asciiTheme="minorEastAsia" w:hAnsiTheme="minorEastAsia" w:eastAsiaTheme="minorEastAsia" w:cstheme="minorEastAsia"/>
          <w:b/>
          <w:bCs/>
          <w:sz w:val="32"/>
          <w:szCs w:val="32"/>
          <w:highlight w:val="none"/>
          <w:u w:val="single"/>
        </w:rPr>
        <w:t xml:space="preserve">                    </w:t>
      </w:r>
      <w:r>
        <w:rPr>
          <w:rFonts w:hint="eastAsia"/>
          <w:b/>
          <w:bCs/>
          <w:sz w:val="32"/>
          <w:szCs w:val="32"/>
          <w:highlight w:val="none"/>
        </w:rPr>
        <w:t xml:space="preserve">                      </w:t>
      </w:r>
    </w:p>
    <w:p>
      <w:pPr>
        <w:pStyle w:val="42"/>
        <w:spacing w:line="480" w:lineRule="auto"/>
        <w:ind w:left="2400" w:leftChars="1000"/>
        <w:rPr>
          <w:b/>
          <w:bCs/>
          <w:sz w:val="32"/>
          <w:szCs w:val="32"/>
          <w:highlight w:val="none"/>
        </w:rPr>
      </w:pPr>
      <w:r>
        <w:rPr>
          <w:rFonts w:hint="eastAsia"/>
          <w:b/>
          <w:bCs/>
          <w:sz w:val="32"/>
          <w:szCs w:val="32"/>
          <w:highlight w:val="none"/>
        </w:rPr>
        <w:t>投标人名称：</w:t>
      </w:r>
      <w:r>
        <w:rPr>
          <w:rFonts w:hint="eastAsia" w:asciiTheme="minorEastAsia" w:hAnsiTheme="minorEastAsia" w:eastAsiaTheme="minorEastAsia" w:cstheme="minorEastAsia"/>
          <w:b/>
          <w:bCs/>
          <w:sz w:val="32"/>
          <w:szCs w:val="32"/>
          <w:highlight w:val="none"/>
          <w:u w:val="single"/>
        </w:rPr>
        <w:t xml:space="preserve">                  </w:t>
      </w:r>
      <w:r>
        <w:rPr>
          <w:rFonts w:hint="eastAsia"/>
          <w:b/>
          <w:bCs/>
          <w:sz w:val="32"/>
          <w:szCs w:val="32"/>
          <w:highlight w:val="none"/>
        </w:rPr>
        <w:t xml:space="preserve">                </w:t>
      </w:r>
    </w:p>
    <w:p>
      <w:pPr>
        <w:pStyle w:val="42"/>
        <w:spacing w:line="480" w:lineRule="auto"/>
        <w:ind w:left="2400" w:leftChars="1000"/>
        <w:rPr>
          <w:b/>
          <w:bCs/>
          <w:sz w:val="32"/>
          <w:szCs w:val="32"/>
          <w:highlight w:val="none"/>
        </w:rPr>
      </w:pPr>
      <w:r>
        <w:rPr>
          <w:rFonts w:hint="eastAsia"/>
          <w:b/>
          <w:bCs/>
          <w:sz w:val="32"/>
          <w:szCs w:val="32"/>
          <w:highlight w:val="none"/>
        </w:rPr>
        <w:t>投标日期：</w:t>
      </w:r>
      <w:r>
        <w:rPr>
          <w:rFonts w:hint="eastAsia"/>
          <w:b/>
          <w:bCs/>
          <w:sz w:val="32"/>
          <w:szCs w:val="32"/>
          <w:highlight w:val="none"/>
          <w:u w:val="single"/>
        </w:rPr>
        <w:t xml:space="preserve">      </w:t>
      </w:r>
      <w:r>
        <w:rPr>
          <w:rFonts w:hint="eastAsia"/>
          <w:b/>
          <w:bCs/>
          <w:sz w:val="32"/>
          <w:szCs w:val="32"/>
          <w:highlight w:val="none"/>
        </w:rPr>
        <w:t>年</w:t>
      </w:r>
      <w:r>
        <w:rPr>
          <w:rFonts w:hint="eastAsia"/>
          <w:b/>
          <w:bCs/>
          <w:sz w:val="32"/>
          <w:szCs w:val="32"/>
          <w:highlight w:val="none"/>
          <w:u w:val="single"/>
        </w:rPr>
        <w:t xml:space="preserve">    </w:t>
      </w:r>
      <w:r>
        <w:rPr>
          <w:rFonts w:hint="eastAsia"/>
          <w:b/>
          <w:bCs/>
          <w:sz w:val="32"/>
          <w:szCs w:val="32"/>
          <w:highlight w:val="none"/>
        </w:rPr>
        <w:t>月</w:t>
      </w:r>
      <w:r>
        <w:rPr>
          <w:rFonts w:hint="eastAsia"/>
          <w:b/>
          <w:bCs/>
          <w:sz w:val="32"/>
          <w:szCs w:val="32"/>
          <w:highlight w:val="none"/>
          <w:u w:val="single"/>
        </w:rPr>
        <w:t xml:space="preserve">    </w:t>
      </w:r>
      <w:r>
        <w:rPr>
          <w:rFonts w:hint="eastAsia"/>
          <w:b/>
          <w:bCs/>
          <w:sz w:val="32"/>
          <w:szCs w:val="32"/>
          <w:highlight w:val="none"/>
        </w:rPr>
        <w:t>日</w:t>
      </w:r>
    </w:p>
    <w:p>
      <w:pPr>
        <w:pStyle w:val="29"/>
        <w:rPr>
          <w:highlight w:val="none"/>
        </w:rPr>
      </w:pPr>
      <w:bookmarkStart w:id="808" w:name="_Toc11556"/>
      <w:bookmarkStart w:id="809" w:name="_Toc5565"/>
      <w:bookmarkStart w:id="810" w:name="_Toc5306"/>
      <w:bookmarkStart w:id="811" w:name="_Toc31011"/>
      <w:r>
        <w:rPr>
          <w:rFonts w:hint="eastAsia"/>
          <w:highlight w:val="none"/>
        </w:rPr>
        <w:br w:type="page"/>
      </w:r>
    </w:p>
    <w:bookmarkEnd w:id="808"/>
    <w:bookmarkEnd w:id="809"/>
    <w:bookmarkEnd w:id="810"/>
    <w:bookmarkEnd w:id="811"/>
    <w:p>
      <w:pPr>
        <w:pStyle w:val="29"/>
        <w:rPr>
          <w:highlight w:val="none"/>
        </w:rPr>
      </w:pPr>
      <w:bookmarkStart w:id="812" w:name="_Toc15611"/>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bookmarkStart w:id="813" w:name="_Toc24630"/>
    </w:p>
    <w:p>
      <w:pPr>
        <w:pStyle w:val="29"/>
        <w:rPr>
          <w:highlight w:val="none"/>
        </w:rPr>
      </w:pPr>
    </w:p>
    <w:p>
      <w:pPr>
        <w:pStyle w:val="29"/>
        <w:rPr>
          <w:highlight w:val="none"/>
        </w:rPr>
      </w:pPr>
    </w:p>
    <w:p>
      <w:pPr>
        <w:pStyle w:val="29"/>
        <w:rPr>
          <w:highlight w:val="none"/>
        </w:rPr>
      </w:pPr>
    </w:p>
    <w:p>
      <w:pPr>
        <w:pStyle w:val="29"/>
        <w:rPr>
          <w:highlight w:val="none"/>
        </w:rPr>
      </w:pPr>
    </w:p>
    <w:p>
      <w:pPr>
        <w:pStyle w:val="30"/>
        <w:numPr>
          <w:ilvl w:val="1"/>
          <w:numId w:val="0"/>
        </w:numPr>
        <w:spacing w:before="480" w:beforeLines="200"/>
        <w:jc w:val="center"/>
        <w:rPr>
          <w:sz w:val="32"/>
          <w:szCs w:val="32"/>
          <w:highlight w:val="none"/>
        </w:rPr>
      </w:pPr>
      <w:bookmarkStart w:id="814" w:name="_Toc12683"/>
      <w:r>
        <w:rPr>
          <w:rFonts w:hint="eastAsia"/>
          <w:sz w:val="32"/>
          <w:szCs w:val="32"/>
          <w:highlight w:val="none"/>
        </w:rPr>
        <w:t>第一部分 资格、资质性及其他类似效力投标文件(格式)</w:t>
      </w:r>
      <w:bookmarkEnd w:id="812"/>
      <w:bookmarkEnd w:id="813"/>
      <w:bookmarkEnd w:id="814"/>
      <w:bookmarkStart w:id="815" w:name="_Toc23537"/>
      <w:bookmarkStart w:id="816" w:name="_Toc16168"/>
    </w:p>
    <w:bookmarkEnd w:id="815"/>
    <w:bookmarkEnd w:id="816"/>
    <w:p>
      <w:pPr>
        <w:pStyle w:val="29"/>
        <w:rPr>
          <w:highlight w:val="none"/>
        </w:rPr>
      </w:pPr>
      <w:bookmarkStart w:id="817" w:name="_Toc15054"/>
      <w:bookmarkStart w:id="818" w:name="_Toc4865"/>
      <w:bookmarkStart w:id="819" w:name="_Toc19166"/>
      <w:r>
        <w:rPr>
          <w:rFonts w:hint="eastAsia"/>
          <w:highlight w:val="none"/>
        </w:rPr>
        <w:br w:type="page"/>
      </w:r>
    </w:p>
    <w:p>
      <w:pPr>
        <w:pStyle w:val="51"/>
        <w:numPr>
          <w:ilvl w:val="0"/>
          <w:numId w:val="19"/>
        </w:numPr>
        <w:spacing w:before="120" w:after="120"/>
        <w:ind w:firstLine="0"/>
        <w:rPr>
          <w:highlight w:val="none"/>
        </w:rPr>
      </w:pPr>
      <w:bookmarkStart w:id="820" w:name="_Toc9688"/>
      <w:bookmarkStart w:id="821" w:name="_Toc21430"/>
      <w:bookmarkStart w:id="822" w:name="_Toc20893"/>
      <w:bookmarkStart w:id="823" w:name="_Toc22140"/>
      <w:bookmarkStart w:id="824" w:name="_Toc9243"/>
      <w:bookmarkStart w:id="825" w:name="_Toc5501"/>
      <w:r>
        <w:rPr>
          <w:rFonts w:hint="eastAsia"/>
          <w:highlight w:val="none"/>
        </w:rPr>
        <w:t>法定代表人/单位负责人身份证明书</w:t>
      </w:r>
      <w:bookmarkEnd w:id="820"/>
      <w:bookmarkEnd w:id="821"/>
      <w:bookmarkEnd w:id="822"/>
      <w:bookmarkEnd w:id="823"/>
      <w:bookmarkEnd w:id="824"/>
      <w:bookmarkEnd w:id="825"/>
    </w:p>
    <w:p>
      <w:pPr>
        <w:pStyle w:val="33"/>
        <w:rPr>
          <w:highlight w:val="none"/>
        </w:rPr>
      </w:pPr>
      <w:r>
        <w:rPr>
          <w:rFonts w:hint="eastAsia"/>
          <w:highlight w:val="none"/>
        </w:rPr>
        <w:t>单位名称：</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33"/>
        <w:rPr>
          <w:highlight w:val="none"/>
        </w:rPr>
      </w:pPr>
      <w:r>
        <w:rPr>
          <w:rFonts w:hint="eastAsia"/>
          <w:highlight w:val="none"/>
        </w:rPr>
        <w:t>地    址：</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33"/>
        <w:rPr>
          <w:highlight w:val="none"/>
        </w:rPr>
      </w:pPr>
      <w:r>
        <w:rPr>
          <w:rFonts w:hint="eastAsia"/>
          <w:highlight w:val="none"/>
        </w:rPr>
        <w:t>姓    名：</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性别：</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职务：</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pStyle w:val="33"/>
        <w:rPr>
          <w:highlight w:val="none"/>
        </w:rPr>
      </w:pPr>
      <w:r>
        <w:rPr>
          <w:rFonts w:hint="eastAsia"/>
          <w:highlight w:val="none"/>
        </w:rPr>
        <w:t>本人系</w:t>
      </w:r>
      <w:r>
        <w:rPr>
          <w:rFonts w:hint="eastAsia"/>
          <w:highlight w:val="none"/>
          <w:u w:val="single"/>
        </w:rPr>
        <w:t xml:space="preserve">                           </w:t>
      </w:r>
      <w:r>
        <w:rPr>
          <w:rFonts w:hint="eastAsia"/>
          <w:highlight w:val="none"/>
        </w:rPr>
        <w:t>(投标人名称)的法定代表人/单位负责人。就参加你单位组织的“</w:t>
      </w:r>
      <w:r>
        <w:rPr>
          <w:rFonts w:hint="eastAsia"/>
          <w:highlight w:val="none"/>
          <w:u w:val="single"/>
        </w:rPr>
        <w:t xml:space="preserve">             </w:t>
      </w:r>
      <w:r>
        <w:rPr>
          <w:rFonts w:hint="eastAsia"/>
          <w:highlight w:val="none"/>
        </w:rPr>
        <w:t>(项目名称)(项目编号：</w:t>
      </w:r>
      <w:r>
        <w:rPr>
          <w:rFonts w:hint="eastAsia"/>
          <w:highlight w:val="none"/>
          <w:u w:val="single"/>
        </w:rPr>
        <w:t xml:space="preserve">         </w:t>
      </w:r>
      <w:r>
        <w:rPr>
          <w:rFonts w:hint="eastAsia"/>
          <w:highlight w:val="none"/>
        </w:rPr>
        <w:t>)”的投标活动、并参与项目的投标、签订合同以及执行合同等一切事宜，我单位均予承认，所产生的法律后果均由我单位承担。</w:t>
      </w:r>
    </w:p>
    <w:p>
      <w:pPr>
        <w:pStyle w:val="33"/>
        <w:rPr>
          <w:highlight w:val="none"/>
        </w:rPr>
      </w:pPr>
      <w:r>
        <w:rPr>
          <w:rFonts w:hint="eastAsia"/>
          <w:highlight w:val="none"/>
        </w:rPr>
        <w:t>特此证明。</w:t>
      </w: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33"/>
        <w:rPr>
          <w:highlight w:val="none"/>
        </w:rPr>
      </w:pPr>
      <w:r>
        <w:rPr>
          <w:rFonts w:hint="eastAsia"/>
          <w:highlight w:val="none"/>
        </w:rPr>
        <w:t>投标人名称：</w:t>
      </w:r>
      <w:r>
        <w:rPr>
          <w:rFonts w:hint="eastAsia"/>
          <w:highlight w:val="none"/>
          <w:u w:val="single"/>
        </w:rPr>
        <w:t xml:space="preserve">             </w:t>
      </w:r>
    </w:p>
    <w:p>
      <w:pPr>
        <w:pStyle w:val="33"/>
        <w:rPr>
          <w:highlight w:val="none"/>
          <w:u w:val="single"/>
        </w:rPr>
      </w:pPr>
      <w:r>
        <w:rPr>
          <w:rFonts w:hint="eastAsia"/>
          <w:highlight w:val="none"/>
        </w:rPr>
        <w:t>投标日期：</w:t>
      </w:r>
      <w:r>
        <w:rPr>
          <w:rFonts w:hint="eastAsia"/>
          <w:highlight w:val="none"/>
          <w:u w:val="single"/>
        </w:rPr>
        <w:t xml:space="preserve">             </w:t>
      </w:r>
    </w:p>
    <w:p>
      <w:pPr>
        <w:pStyle w:val="33"/>
        <w:rPr>
          <w:highlight w:val="none"/>
        </w:rPr>
      </w:pPr>
    </w:p>
    <w:p>
      <w:pPr>
        <w:pStyle w:val="53"/>
        <w:ind w:firstLine="482"/>
        <w:rPr>
          <w:highlight w:val="none"/>
        </w:rPr>
      </w:pPr>
      <w:r>
        <w:rPr>
          <w:rFonts w:hint="eastAsia"/>
          <w:highlight w:val="none"/>
        </w:rPr>
        <w:t>注：1.</w:t>
      </w:r>
      <w:r>
        <w:rPr>
          <w:highlight w:val="none"/>
        </w:rPr>
        <w:t>应附法定代表人/单位负责人身份证明材料复印件。</w:t>
      </w:r>
    </w:p>
    <w:p>
      <w:pPr>
        <w:pStyle w:val="53"/>
        <w:ind w:firstLine="482"/>
        <w:rPr>
          <w:highlight w:val="none"/>
        </w:rPr>
      </w:pPr>
      <w:r>
        <w:rPr>
          <w:rFonts w:hint="eastAsia"/>
          <w:highlight w:val="none"/>
        </w:rPr>
        <w:t>2.</w:t>
      </w:r>
      <w:r>
        <w:rPr>
          <w:highlight w:val="none"/>
        </w:rPr>
        <w:t>身份证明材料包括居民身份证或户口本或军官证或护照等。</w:t>
      </w:r>
    </w:p>
    <w:p>
      <w:pPr>
        <w:pStyle w:val="53"/>
        <w:ind w:firstLine="482"/>
        <w:rPr>
          <w:highlight w:val="none"/>
        </w:rPr>
      </w:pPr>
      <w:r>
        <w:rPr>
          <w:rFonts w:hint="eastAsia"/>
          <w:highlight w:val="none"/>
        </w:rPr>
        <w:t>3.</w:t>
      </w:r>
      <w:r>
        <w:rPr>
          <w:highlight w:val="none"/>
        </w:rPr>
        <w:t>身份证明材料应同时提供其在有效期的材料，如居民身份证正、反面复印件</w:t>
      </w:r>
      <w:r>
        <w:rPr>
          <w:rFonts w:hint="eastAsia"/>
          <w:highlight w:val="none"/>
        </w:rPr>
        <w:t>。</w:t>
      </w:r>
    </w:p>
    <w:p>
      <w:pPr>
        <w:pStyle w:val="51"/>
        <w:numPr>
          <w:ilvl w:val="0"/>
          <w:numId w:val="19"/>
        </w:numPr>
        <w:spacing w:before="120" w:after="120"/>
        <w:ind w:firstLine="0"/>
        <w:rPr>
          <w:highlight w:val="none"/>
        </w:rPr>
      </w:pPr>
      <w:bookmarkStart w:id="826" w:name="_Toc28837"/>
      <w:bookmarkStart w:id="827" w:name="_Toc10998"/>
      <w:bookmarkStart w:id="828" w:name="_Toc22152"/>
      <w:bookmarkStart w:id="829" w:name="_Toc9061"/>
      <w:bookmarkStart w:id="830" w:name="_Toc28397"/>
      <w:bookmarkStart w:id="831" w:name="_Toc3822"/>
      <w:r>
        <w:rPr>
          <w:rFonts w:hint="eastAsia"/>
          <w:highlight w:val="none"/>
        </w:rPr>
        <w:t>具有独立承担民事责任的能力的证明材料</w:t>
      </w:r>
      <w:bookmarkEnd w:id="826"/>
      <w:bookmarkEnd w:id="827"/>
      <w:bookmarkEnd w:id="828"/>
      <w:bookmarkEnd w:id="829"/>
    </w:p>
    <w:p>
      <w:pPr>
        <w:pStyle w:val="33"/>
        <w:rPr>
          <w:highlight w:val="none"/>
        </w:rPr>
      </w:pPr>
      <w:r>
        <w:rPr>
          <w:rFonts w:hint="eastAsia"/>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30"/>
    <w:p>
      <w:pPr>
        <w:pStyle w:val="53"/>
        <w:ind w:firstLine="482"/>
        <w:rPr>
          <w:highlight w:val="none"/>
        </w:rPr>
      </w:pPr>
      <w:r>
        <w:rPr>
          <w:rFonts w:hint="eastAsia"/>
          <w:highlight w:val="none"/>
        </w:rPr>
        <w:t>注：1.以上证明材料应满足此条要求①发证机关有年检要求的，应按规定通过年检；②在有效期内；③复印件加盖投标人电子签章；</w:t>
      </w:r>
    </w:p>
    <w:p>
      <w:pPr>
        <w:pStyle w:val="53"/>
        <w:ind w:firstLine="482"/>
        <w:rPr>
          <w:highlight w:val="none"/>
        </w:rPr>
      </w:pPr>
      <w:r>
        <w:rPr>
          <w:rFonts w:hint="eastAsia"/>
          <w:highlight w:val="none"/>
        </w:rPr>
        <w:t>2.</w:t>
      </w:r>
      <w:bookmarkEnd w:id="831"/>
      <w:r>
        <w:rPr>
          <w:rFonts w:hint="eastAsia"/>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highlight w:val="none"/>
        </w:rPr>
      </w:pPr>
      <w:r>
        <w:rPr>
          <w:rFonts w:hint="eastAsia"/>
          <w:highlight w:val="none"/>
        </w:rPr>
        <w:t>3.</w:t>
      </w:r>
      <w:r>
        <w:rPr>
          <w:highlight w:val="none"/>
        </w:rPr>
        <w:t>根据国务院办公厅关于加快推进“多证合一”改革的指导意见</w:t>
      </w:r>
      <w:r>
        <w:rPr>
          <w:rFonts w:hint="eastAsia"/>
          <w:highlight w:val="none"/>
        </w:rPr>
        <w:t>(</w:t>
      </w:r>
      <w:r>
        <w:rPr>
          <w:highlight w:val="none"/>
        </w:rPr>
        <w:t>国办发</w:t>
      </w:r>
      <w:r>
        <w:rPr>
          <w:rFonts w:hint="eastAsia"/>
          <w:highlight w:val="none"/>
        </w:rPr>
        <w:t>〔</w:t>
      </w:r>
      <w:r>
        <w:rPr>
          <w:highlight w:val="none"/>
        </w:rPr>
        <w:t>2017</w:t>
      </w:r>
      <w:r>
        <w:rPr>
          <w:rFonts w:hint="eastAsia"/>
          <w:highlight w:val="none"/>
        </w:rPr>
        <w:t>〕</w:t>
      </w:r>
      <w:r>
        <w:rPr>
          <w:highlight w:val="none"/>
        </w:rPr>
        <w:t>41号</w:t>
      </w:r>
      <w:r>
        <w:rPr>
          <w:rFonts w:hint="eastAsia"/>
          <w:highlight w:val="none"/>
        </w:rPr>
        <w:t>)</w:t>
      </w:r>
      <w:r>
        <w:rPr>
          <w:highlight w:val="none"/>
        </w:rPr>
        <w:t>等政策要求，若资格要求涉及的登记、备案等有关事项和各类证照已实行多证合一</w:t>
      </w:r>
      <w:r>
        <w:rPr>
          <w:rFonts w:hint="eastAsia"/>
          <w:highlight w:val="none"/>
        </w:rPr>
        <w:t>的，提供多证合一证照副本复印件</w:t>
      </w:r>
      <w:r>
        <w:rPr>
          <w:highlight w:val="none"/>
        </w:rPr>
        <w:t>。</w:t>
      </w:r>
    </w:p>
    <w:p>
      <w:pPr>
        <w:pStyle w:val="29"/>
        <w:rPr>
          <w:highlight w:val="none"/>
        </w:rPr>
      </w:pPr>
    </w:p>
    <w:p>
      <w:pPr>
        <w:pStyle w:val="51"/>
        <w:numPr>
          <w:ilvl w:val="0"/>
          <w:numId w:val="19"/>
        </w:numPr>
        <w:spacing w:before="120" w:after="120"/>
        <w:ind w:firstLine="0"/>
        <w:rPr>
          <w:highlight w:val="none"/>
        </w:rPr>
      </w:pPr>
      <w:bookmarkStart w:id="832" w:name="_Toc28024"/>
      <w:bookmarkStart w:id="833" w:name="_Toc3600"/>
      <w:bookmarkStart w:id="834" w:name="_Toc29937"/>
      <w:bookmarkStart w:id="835" w:name="_Toc4745"/>
      <w:bookmarkStart w:id="836" w:name="_Toc14566"/>
      <w:r>
        <w:rPr>
          <w:rFonts w:hint="eastAsia"/>
          <w:highlight w:val="none"/>
        </w:rPr>
        <w:t>投标人具有良好的商业信誉和健全的财务会计制度的证明材料</w:t>
      </w:r>
      <w:bookmarkEnd w:id="832"/>
      <w:bookmarkEnd w:id="833"/>
      <w:bookmarkEnd w:id="834"/>
      <w:bookmarkEnd w:id="835"/>
    </w:p>
    <w:bookmarkEnd w:id="836"/>
    <w:p>
      <w:pPr>
        <w:pStyle w:val="33"/>
        <w:rPr>
          <w:highlight w:val="none"/>
        </w:rPr>
      </w:pPr>
      <w:bookmarkStart w:id="837" w:name="_Toc17744"/>
      <w:bookmarkStart w:id="838" w:name="_Toc19866"/>
      <w:bookmarkStart w:id="839" w:name="_Toc5443"/>
      <w:r>
        <w:rPr>
          <w:rFonts w:hint="eastAsia"/>
          <w:highlight w:val="none"/>
        </w:rPr>
        <w:t>1.投标人具有良好商业信誉的证明材料</w:t>
      </w:r>
    </w:p>
    <w:p>
      <w:pPr>
        <w:pStyle w:val="33"/>
        <w:rPr>
          <w:highlight w:val="none"/>
        </w:rPr>
      </w:pPr>
      <w:r>
        <w:rPr>
          <w:rFonts w:hint="eastAsia"/>
          <w:highlight w:val="none"/>
        </w:rPr>
        <w:t>提供具有良好的商业信誉的承诺函。</w:t>
      </w:r>
    </w:p>
    <w:p>
      <w:pPr>
        <w:pStyle w:val="33"/>
        <w:ind w:firstLine="482"/>
        <w:rPr>
          <w:rFonts w:cs="宋体"/>
          <w:b/>
          <w:bCs/>
          <w:highlight w:val="none"/>
        </w:rPr>
      </w:pPr>
      <w:r>
        <w:rPr>
          <w:rFonts w:hint="eastAsia"/>
          <w:b/>
          <w:bCs/>
          <w:highlight w:val="none"/>
        </w:rPr>
        <w:t>注：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3"/>
        <w:rPr>
          <w:highlight w:val="none"/>
        </w:rPr>
      </w:pPr>
      <w:r>
        <w:rPr>
          <w:rFonts w:hint="eastAsia"/>
          <w:highlight w:val="none"/>
        </w:rPr>
        <w:t>2.投标人具有健全的财务会计制度的证明材料</w:t>
      </w:r>
    </w:p>
    <w:p>
      <w:pPr>
        <w:pStyle w:val="33"/>
        <w:rPr>
          <w:highlight w:val="none"/>
        </w:rPr>
      </w:pPr>
      <w:r>
        <w:rPr>
          <w:rFonts w:hint="eastAsia"/>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highlight w:val="none"/>
        </w:rPr>
      </w:pPr>
      <w:r>
        <w:rPr>
          <w:rFonts w:hint="eastAsia"/>
          <w:highlight w:val="none"/>
        </w:rPr>
        <w:t>(2)投标人提供2020年度投标人内部的财务报表复印件(至少包含资产负债表)；</w:t>
      </w:r>
    </w:p>
    <w:p>
      <w:pPr>
        <w:pStyle w:val="33"/>
        <w:rPr>
          <w:highlight w:val="none"/>
        </w:rPr>
      </w:pPr>
      <w:r>
        <w:rPr>
          <w:rFonts w:hint="eastAsia"/>
          <w:highlight w:val="none"/>
        </w:rPr>
        <w:t>(3)投标人提供投标文件递交截止日前一年内银行为其出具的资信证明复印件；</w:t>
      </w:r>
    </w:p>
    <w:p>
      <w:pPr>
        <w:pStyle w:val="33"/>
        <w:rPr>
          <w:highlight w:val="none"/>
        </w:rPr>
      </w:pPr>
      <w:r>
        <w:rPr>
          <w:rFonts w:hint="eastAsia"/>
          <w:highlight w:val="none"/>
        </w:rPr>
        <w:t>(4)投标人注册时间截至投标文件递交截止日不足一年的，可提供公司章程复印件；</w:t>
      </w:r>
    </w:p>
    <w:p>
      <w:pPr>
        <w:pStyle w:val="33"/>
        <w:rPr>
          <w:highlight w:val="none"/>
        </w:rPr>
      </w:pPr>
      <w:r>
        <w:rPr>
          <w:rFonts w:hint="eastAsia"/>
          <w:highlight w:val="none"/>
        </w:rPr>
        <w:t>(5)</w:t>
      </w:r>
      <w:r>
        <w:rPr>
          <w:rFonts w:hint="eastAsia"/>
          <w:highlight w:val="none"/>
          <w:lang w:val="en-US" w:eastAsia="zh-CN"/>
        </w:rPr>
        <w:t>投标人为事业单位或其他组织(不具备法人条件的组织，如</w:t>
      </w:r>
      <w:r>
        <w:rPr>
          <w:rFonts w:hint="eastAsia"/>
          <w:color w:val="auto"/>
          <w:highlight w:val="none"/>
        </w:rPr>
        <w:t>合伙组织、个体工商户、农村承包经营户</w:t>
      </w:r>
      <w:r>
        <w:rPr>
          <w:rFonts w:hint="eastAsia"/>
          <w:color w:val="auto"/>
          <w:highlight w:val="none"/>
          <w:lang w:val="en-US" w:eastAsia="zh-CN"/>
        </w:rPr>
        <w:t>等)</w:t>
      </w:r>
      <w:r>
        <w:rPr>
          <w:rFonts w:hint="eastAsia"/>
          <w:highlight w:val="none"/>
          <w:lang w:val="en-US" w:eastAsia="zh-CN"/>
        </w:rPr>
        <w:t>或自然人时，可提供承诺函</w:t>
      </w:r>
      <w:r>
        <w:rPr>
          <w:rFonts w:hint="eastAsia"/>
          <w:highlight w:val="none"/>
        </w:rPr>
        <w:t>。</w:t>
      </w:r>
    </w:p>
    <w:p>
      <w:pPr>
        <w:pStyle w:val="53"/>
        <w:ind w:firstLine="482"/>
        <w:rPr>
          <w:highlight w:val="none"/>
        </w:rPr>
      </w:pPr>
      <w:r>
        <w:rPr>
          <w:rFonts w:hint="eastAsia"/>
          <w:bCs/>
          <w:highlight w:val="none"/>
        </w:rPr>
        <w:t>注：具有健全的财务会计制度的证明材料中第(1)-(5)项具有同等的投标效力，投标人可根据自身实际情况选择提供其中任意一项。</w:t>
      </w:r>
    </w:p>
    <w:p>
      <w:pPr>
        <w:pStyle w:val="51"/>
        <w:numPr>
          <w:ilvl w:val="0"/>
          <w:numId w:val="19"/>
        </w:numPr>
        <w:spacing w:before="120" w:after="120"/>
        <w:ind w:firstLine="0"/>
        <w:rPr>
          <w:highlight w:val="none"/>
        </w:rPr>
      </w:pPr>
      <w:bookmarkStart w:id="840" w:name="_Toc26712"/>
      <w:bookmarkStart w:id="841" w:name="_Toc19365"/>
      <w:r>
        <w:rPr>
          <w:rFonts w:hint="eastAsia"/>
          <w:highlight w:val="none"/>
        </w:rPr>
        <w:t>投标人具有依法缴纳税收和社会保障资金的良好记录的证明材料</w:t>
      </w:r>
      <w:bookmarkEnd w:id="837"/>
      <w:bookmarkEnd w:id="838"/>
      <w:bookmarkEnd w:id="840"/>
      <w:bookmarkEnd w:id="841"/>
    </w:p>
    <w:bookmarkEnd w:id="839"/>
    <w:p>
      <w:pPr>
        <w:pStyle w:val="33"/>
        <w:rPr>
          <w:highlight w:val="none"/>
        </w:rPr>
      </w:pPr>
      <w:r>
        <w:rPr>
          <w:rFonts w:hint="eastAsia"/>
          <w:highlight w:val="none"/>
        </w:rPr>
        <w:t>提供具有</w:t>
      </w:r>
      <w:r>
        <w:rPr>
          <w:rFonts w:hint="eastAsia"/>
          <w:highlight w:val="none"/>
          <w:lang w:val="zh-CN"/>
        </w:rPr>
        <w:t>依法缴纳税收和社会保障资金的良好记录</w:t>
      </w:r>
      <w:r>
        <w:rPr>
          <w:rFonts w:hint="eastAsia"/>
          <w:highlight w:val="none"/>
        </w:rPr>
        <w:t>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29"/>
        <w:rPr>
          <w:highlight w:val="none"/>
        </w:rPr>
      </w:pPr>
      <w:r>
        <w:rPr>
          <w:rFonts w:hint="eastAsia"/>
          <w:highlight w:val="none"/>
        </w:rPr>
        <w:br w:type="page"/>
      </w:r>
    </w:p>
    <w:p>
      <w:pPr>
        <w:pStyle w:val="51"/>
        <w:numPr>
          <w:ilvl w:val="0"/>
          <w:numId w:val="19"/>
        </w:numPr>
        <w:spacing w:before="120" w:after="120"/>
        <w:ind w:firstLine="0"/>
        <w:rPr>
          <w:highlight w:val="none"/>
        </w:rPr>
      </w:pPr>
      <w:bookmarkStart w:id="842" w:name="_Toc19241"/>
      <w:bookmarkStart w:id="843" w:name="_Toc14829"/>
      <w:bookmarkStart w:id="844" w:name="_Toc16336"/>
      <w:bookmarkStart w:id="845" w:name="_Toc15870"/>
      <w:r>
        <w:rPr>
          <w:rFonts w:hint="eastAsia"/>
          <w:highlight w:val="none"/>
        </w:rPr>
        <w:t>投标人具有履行合同所必需的设备和专业技术能力证明材料</w:t>
      </w:r>
      <w:bookmarkEnd w:id="842"/>
      <w:bookmarkEnd w:id="843"/>
      <w:bookmarkEnd w:id="844"/>
      <w:bookmarkEnd w:id="845"/>
    </w:p>
    <w:p>
      <w:pPr>
        <w:pStyle w:val="33"/>
        <w:rPr>
          <w:highlight w:val="none"/>
        </w:rPr>
      </w:pPr>
      <w:r>
        <w:rPr>
          <w:rFonts w:hint="eastAsia"/>
          <w:highlight w:val="none"/>
        </w:rPr>
        <w:t>提供具有履行合同所必需的设备和专业技术能力的承诺函。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29"/>
        <w:rPr>
          <w:highlight w:val="none"/>
        </w:rPr>
      </w:pPr>
      <w:r>
        <w:rPr>
          <w:rFonts w:hint="eastAsia"/>
          <w:highlight w:val="none"/>
        </w:rPr>
        <w:br w:type="page"/>
      </w:r>
    </w:p>
    <w:p>
      <w:pPr>
        <w:pStyle w:val="51"/>
        <w:numPr>
          <w:ilvl w:val="0"/>
          <w:numId w:val="19"/>
        </w:numPr>
        <w:spacing w:before="120" w:after="120"/>
        <w:ind w:firstLine="0"/>
        <w:rPr>
          <w:highlight w:val="none"/>
        </w:rPr>
      </w:pPr>
      <w:bookmarkStart w:id="846" w:name="_Toc9968"/>
      <w:bookmarkStart w:id="847" w:name="_Toc19495"/>
      <w:bookmarkStart w:id="848" w:name="_Toc21379"/>
      <w:r>
        <w:rPr>
          <w:rFonts w:hint="eastAsia"/>
          <w:highlight w:val="none"/>
        </w:rPr>
        <w:t>投标人参加政府采购活动前三年内，在经营活动中没有重大违法记录的证明材料</w:t>
      </w:r>
      <w:bookmarkEnd w:id="846"/>
      <w:bookmarkEnd w:id="847"/>
      <w:bookmarkEnd w:id="848"/>
    </w:p>
    <w:p>
      <w:pPr>
        <w:pStyle w:val="33"/>
        <w:rPr>
          <w:highlight w:val="none"/>
        </w:rPr>
      </w:pPr>
      <w:bookmarkStart w:id="849" w:name="_Toc14299"/>
      <w:bookmarkStart w:id="850" w:name="_Toc9591"/>
      <w:r>
        <w:rPr>
          <w:rFonts w:hint="eastAsia"/>
          <w:highlight w:val="none"/>
        </w:rPr>
        <w:t>投标人提供参加本次政府采购活动前三年内，在经营活动中没有重大违法记录的书面声明(成立不足三年的，从成立之日起计算)。</w:t>
      </w:r>
    </w:p>
    <w:p>
      <w:pPr>
        <w:pStyle w:val="53"/>
        <w:ind w:firstLine="482"/>
        <w:rPr>
          <w:highlight w:val="none"/>
        </w:rPr>
      </w:pPr>
      <w:bookmarkStart w:id="851" w:name="_Toc7540"/>
      <w:bookmarkStart w:id="852" w:name="_Toc26284"/>
      <w:r>
        <w:rPr>
          <w:rFonts w:hint="eastAsia"/>
          <w:highlight w:val="none"/>
        </w:rPr>
        <w:t>注：格式自拟，或参照《符合&lt;中华人民共和国政府采购法&gt;第二十二条规定的条件的承诺及声明函》的格式提供声明函。</w:t>
      </w:r>
    </w:p>
    <w:bookmarkEnd w:id="849"/>
    <w:bookmarkEnd w:id="850"/>
    <w:bookmarkEnd w:id="851"/>
    <w:bookmarkEnd w:id="852"/>
    <w:p>
      <w:pPr>
        <w:pStyle w:val="51"/>
        <w:numPr>
          <w:ilvl w:val="0"/>
          <w:numId w:val="19"/>
        </w:numPr>
        <w:spacing w:before="120" w:after="120"/>
        <w:ind w:firstLine="0"/>
        <w:rPr>
          <w:highlight w:val="none"/>
          <w:lang w:val="zh-CN"/>
        </w:rPr>
      </w:pPr>
      <w:bookmarkStart w:id="853" w:name="_Toc17558"/>
      <w:bookmarkStart w:id="854" w:name="_Toc27034"/>
      <w:bookmarkStart w:id="855" w:name="_Toc3840"/>
      <w:bookmarkStart w:id="856" w:name="_Toc2636"/>
      <w:bookmarkStart w:id="857" w:name="_Toc29042"/>
      <w:r>
        <w:rPr>
          <w:rFonts w:hint="eastAsia"/>
          <w:highlight w:val="none"/>
        </w:rPr>
        <w:t>投标人</w:t>
      </w:r>
      <w:r>
        <w:rPr>
          <w:rFonts w:hint="eastAsia"/>
          <w:highlight w:val="none"/>
          <w:lang w:val="zh-CN"/>
        </w:rPr>
        <w:t>及其现任法定代表人、主要负责人不得具有行贿犯罪记录</w:t>
      </w:r>
      <w:r>
        <w:rPr>
          <w:rFonts w:hint="eastAsia"/>
          <w:highlight w:val="none"/>
        </w:rPr>
        <w:t>的</w:t>
      </w:r>
      <w:bookmarkEnd w:id="853"/>
      <w:bookmarkEnd w:id="854"/>
      <w:bookmarkEnd w:id="855"/>
      <w:r>
        <w:rPr>
          <w:rFonts w:hint="eastAsia"/>
          <w:highlight w:val="none"/>
        </w:rPr>
        <w:t>承诺函</w:t>
      </w:r>
      <w:bookmarkEnd w:id="856"/>
      <w:bookmarkEnd w:id="857"/>
    </w:p>
    <w:p>
      <w:pPr>
        <w:pStyle w:val="29"/>
        <w:adjustRightInd/>
        <w:snapToGrid/>
        <w:rPr>
          <w:rFonts w:cs="宋体"/>
          <w:highlight w:val="none"/>
        </w:rPr>
      </w:pPr>
      <w:r>
        <w:rPr>
          <w:rFonts w:hint="eastAsia" w:cs="宋体"/>
          <w:highlight w:val="none"/>
          <w:u w:val="single"/>
        </w:rPr>
        <w:t xml:space="preserve">                   </w:t>
      </w:r>
      <w:r>
        <w:rPr>
          <w:rFonts w:hint="eastAsia" w:cs="宋体"/>
          <w:highlight w:val="none"/>
        </w:rPr>
        <w:t>(采购代理机构名称)：</w:t>
      </w:r>
    </w:p>
    <w:p>
      <w:pPr>
        <w:pStyle w:val="29"/>
        <w:adjustRightInd/>
        <w:snapToGrid/>
        <w:ind w:firstLine="480" w:firstLineChars="200"/>
        <w:rPr>
          <w:rFonts w:cs="宋体"/>
          <w:highlight w:val="none"/>
        </w:rPr>
      </w:pPr>
      <w:r>
        <w:rPr>
          <w:rFonts w:hint="eastAsia" w:cs="宋体"/>
          <w:highlight w:val="none"/>
        </w:rPr>
        <w:t>我单位作为本次采购项目的投标人，根据招标文件要求，现郑重承诺如下：</w:t>
      </w:r>
    </w:p>
    <w:p>
      <w:pPr>
        <w:pStyle w:val="33"/>
        <w:adjustRightInd/>
        <w:snapToGrid/>
        <w:rPr>
          <w:rFonts w:cs="宋体"/>
          <w:highlight w:val="none"/>
          <w:u w:val="single"/>
        </w:rPr>
      </w:pPr>
      <w:r>
        <w:rPr>
          <w:rFonts w:hint="eastAsia" w:cs="宋体"/>
          <w:highlight w:val="none"/>
          <w:u w:val="single"/>
        </w:rPr>
        <w:t xml:space="preserve">           </w:t>
      </w:r>
      <w:r>
        <w:rPr>
          <w:rFonts w:hint="eastAsia" w:cs="宋体"/>
          <w:highlight w:val="none"/>
        </w:rPr>
        <w:t>(投标人名称)及其现任法定代表人</w:t>
      </w:r>
      <w:r>
        <w:rPr>
          <w:rFonts w:hint="eastAsia" w:cs="宋体"/>
          <w:highlight w:val="none"/>
          <w:u w:val="single"/>
        </w:rPr>
        <w:t xml:space="preserve">       </w:t>
      </w:r>
      <w:r>
        <w:rPr>
          <w:rFonts w:hint="eastAsia" w:cs="宋体"/>
          <w:highlight w:val="none"/>
        </w:rPr>
        <w:t>(姓名)、</w:t>
      </w:r>
      <w:r>
        <w:rPr>
          <w:rFonts w:hint="eastAsia" w:cs="宋体"/>
          <w:highlight w:val="none"/>
          <w:u w:val="single"/>
        </w:rPr>
        <w:t xml:space="preserve">      </w:t>
      </w:r>
      <w:r>
        <w:rPr>
          <w:rFonts w:hint="eastAsia" w:cs="宋体"/>
          <w:highlight w:val="none"/>
        </w:rPr>
        <w:t>(身份证号码)，主要负责人</w:t>
      </w:r>
      <w:r>
        <w:rPr>
          <w:rFonts w:hint="eastAsia" w:cs="宋体"/>
          <w:highlight w:val="none"/>
          <w:u w:val="single"/>
        </w:rPr>
        <w:t xml:space="preserve">       </w:t>
      </w:r>
      <w:r>
        <w:rPr>
          <w:rFonts w:hint="eastAsia" w:cs="宋体"/>
          <w:highlight w:val="none"/>
        </w:rPr>
        <w:t>(姓名)、</w:t>
      </w:r>
      <w:r>
        <w:rPr>
          <w:rFonts w:hint="eastAsia" w:cs="宋体"/>
          <w:highlight w:val="none"/>
          <w:u w:val="single"/>
        </w:rPr>
        <w:t xml:space="preserve">         </w:t>
      </w:r>
      <w:r>
        <w:rPr>
          <w:rFonts w:hint="eastAsia" w:cs="宋体"/>
          <w:highlight w:val="none"/>
        </w:rPr>
        <w:t>(身份证号码)，</w:t>
      </w:r>
      <w:r>
        <w:rPr>
          <w:rFonts w:hint="eastAsia" w:cs="宋体"/>
          <w:highlight w:val="none"/>
          <w:u w:val="single"/>
        </w:rPr>
        <w:t xml:space="preserve">        </w:t>
      </w:r>
      <w:r>
        <w:rPr>
          <w:rFonts w:hint="eastAsia" w:cs="宋体"/>
          <w:highlight w:val="none"/>
        </w:rPr>
        <w:t xml:space="preserve">(无行贿犯罪记录的期限)均无行贿犯罪记录。     </w:t>
      </w:r>
    </w:p>
    <w:p>
      <w:pPr>
        <w:pStyle w:val="33"/>
        <w:adjustRightInd/>
        <w:snapToGrid/>
        <w:rPr>
          <w:rFonts w:cs="宋体"/>
          <w:highlight w:val="none"/>
        </w:rPr>
      </w:pPr>
      <w:r>
        <w:rPr>
          <w:rFonts w:hint="eastAsia" w:cs="宋体"/>
          <w:highlight w:val="none"/>
        </w:rPr>
        <w:t>我单位对上述承诺的内容事项真实性、合法性负责。如经查实上述承诺的内容事项存在虚假，我单位自愿接受以提供虚假材料谋取中标所带来的所有法律责任。</w:t>
      </w:r>
    </w:p>
    <w:p>
      <w:pPr>
        <w:pStyle w:val="29"/>
        <w:adjustRightInd/>
        <w:snapToGrid/>
        <w:rPr>
          <w:rFonts w:cs="宋体"/>
          <w:highlight w:val="none"/>
        </w:rPr>
      </w:pPr>
    </w:p>
    <w:p>
      <w:pPr>
        <w:pStyle w:val="29"/>
        <w:adjustRightInd/>
        <w:snapToGrid/>
        <w:rPr>
          <w:rFonts w:cs="宋体"/>
          <w:highlight w:val="none"/>
        </w:rPr>
      </w:pPr>
    </w:p>
    <w:p>
      <w:pPr>
        <w:pStyle w:val="33"/>
        <w:rPr>
          <w:rFonts w:cs="宋体"/>
          <w:highlight w:val="none"/>
        </w:rPr>
      </w:pPr>
      <w:r>
        <w:rPr>
          <w:rFonts w:hint="eastAsia" w:cs="宋体"/>
          <w:highlight w:val="none"/>
        </w:rPr>
        <w:t>投标人名称：</w:t>
      </w:r>
      <w:r>
        <w:rPr>
          <w:rFonts w:hint="eastAsia" w:cs="宋体"/>
          <w:highlight w:val="none"/>
          <w:u w:val="single"/>
        </w:rPr>
        <w:t xml:space="preserve">               </w:t>
      </w:r>
    </w:p>
    <w:p>
      <w:pPr>
        <w:pStyle w:val="32"/>
        <w:numPr>
          <w:ilvl w:val="3"/>
          <w:numId w:val="0"/>
        </w:numPr>
        <w:adjustRightInd/>
        <w:snapToGrid/>
        <w:ind w:firstLine="480" w:firstLineChars="200"/>
        <w:rPr>
          <w:rFonts w:cs="宋体"/>
          <w:highlight w:val="none"/>
          <w:u w:val="single"/>
        </w:rPr>
      </w:pPr>
      <w:r>
        <w:rPr>
          <w:rFonts w:hint="eastAsia" w:cs="宋体"/>
          <w:highlight w:val="none"/>
        </w:rPr>
        <w:t>投标日期：</w:t>
      </w:r>
      <w:r>
        <w:rPr>
          <w:rFonts w:hint="eastAsia" w:cs="宋体"/>
          <w:highlight w:val="none"/>
          <w:u w:val="single"/>
        </w:rPr>
        <w:t xml:space="preserve">                  </w:t>
      </w:r>
    </w:p>
    <w:p>
      <w:pPr>
        <w:pStyle w:val="32"/>
        <w:numPr>
          <w:ilvl w:val="3"/>
          <w:numId w:val="0"/>
        </w:numPr>
        <w:adjustRightInd/>
        <w:snapToGrid/>
        <w:ind w:firstLine="480" w:firstLineChars="200"/>
        <w:rPr>
          <w:rFonts w:cs="宋体"/>
          <w:highlight w:val="none"/>
          <w:u w:val="single"/>
        </w:rPr>
      </w:pPr>
    </w:p>
    <w:p>
      <w:pPr>
        <w:pStyle w:val="32"/>
        <w:numPr>
          <w:ilvl w:val="3"/>
          <w:numId w:val="0"/>
        </w:numPr>
        <w:ind w:firstLine="482" w:firstLineChars="200"/>
        <w:rPr>
          <w:rFonts w:cs="宋体"/>
          <w:b/>
          <w:bCs/>
          <w:highlight w:val="none"/>
        </w:rPr>
      </w:pPr>
      <w:r>
        <w:rPr>
          <w:rFonts w:hint="eastAsia"/>
          <w:b/>
          <w:bCs/>
          <w:highlight w:val="none"/>
        </w:rPr>
        <w:t>注：①投标人成立时间超过十年的，在“</w:t>
      </w:r>
      <w:r>
        <w:rPr>
          <w:rFonts w:hint="eastAsia" w:cs="宋体"/>
          <w:b/>
          <w:bCs/>
          <w:highlight w:val="none"/>
        </w:rPr>
        <w:t>无行贿犯罪记录的期限</w:t>
      </w:r>
      <w:r>
        <w:rPr>
          <w:rFonts w:hint="eastAsia"/>
          <w:b/>
          <w:bCs/>
          <w:highlight w:val="none"/>
        </w:rPr>
        <w:t>”</w:t>
      </w:r>
      <w:r>
        <w:rPr>
          <w:rFonts w:hint="eastAsia" w:cs="宋体"/>
          <w:b/>
          <w:bCs/>
          <w:highlight w:val="none"/>
        </w:rPr>
        <w:t>处填写“十年内”；投标人成立时间不足十年的，在“无行贿犯罪记录的期限”处填写“自我单位成立之日起至今”。②如有行贿犯罪记录的，投标人将被认定投标无效或被取消中标资格。</w:t>
      </w:r>
    </w:p>
    <w:p>
      <w:pPr>
        <w:pStyle w:val="51"/>
        <w:numPr>
          <w:ilvl w:val="0"/>
          <w:numId w:val="19"/>
        </w:numPr>
        <w:spacing w:before="120" w:after="120"/>
        <w:ind w:firstLine="0"/>
        <w:rPr>
          <w:highlight w:val="none"/>
        </w:rPr>
      </w:pPr>
      <w:bookmarkStart w:id="858" w:name="_Toc5169"/>
      <w:r>
        <w:rPr>
          <w:rFonts w:hint="eastAsia"/>
          <w:highlight w:val="none"/>
        </w:rPr>
        <w:t>根据采购项目的特殊要求，供应商提供具有特定条件</w:t>
      </w:r>
      <w:bookmarkEnd w:id="817"/>
      <w:r>
        <w:rPr>
          <w:rFonts w:hint="eastAsia"/>
          <w:highlight w:val="none"/>
        </w:rPr>
        <w:t>的证明材料</w:t>
      </w:r>
      <w:bookmarkEnd w:id="818"/>
      <w:bookmarkEnd w:id="819"/>
      <w:bookmarkEnd w:id="858"/>
    </w:p>
    <w:p>
      <w:pPr>
        <w:pStyle w:val="53"/>
        <w:rPr>
          <w:b w:val="0"/>
          <w:bCs/>
          <w:highlight w:val="none"/>
          <w:lang w:val="zh-CN"/>
        </w:rPr>
      </w:pPr>
      <w:r>
        <w:rPr>
          <w:rFonts w:hint="eastAsia"/>
          <w:b w:val="0"/>
          <w:bCs/>
          <w:highlight w:val="none"/>
        </w:rPr>
        <w:t>提供未与其他投标供应商组成联合体参与本项目投标的承诺函</w:t>
      </w:r>
      <w:r>
        <w:rPr>
          <w:rFonts w:hint="eastAsia"/>
          <w:b w:val="0"/>
          <w:bCs/>
          <w:highlight w:val="none"/>
          <w:lang w:val="zh-CN"/>
        </w:rPr>
        <w:t>。</w:t>
      </w:r>
    </w:p>
    <w:p>
      <w:pPr>
        <w:pStyle w:val="53"/>
        <w:ind w:firstLine="482"/>
        <w:rPr>
          <w:rFonts w:cs="宋体" w:asciiTheme="minorEastAsia" w:hAnsiTheme="minorEastAsia" w:eastAsiaTheme="minorEastAsia"/>
          <w:highlight w:val="none"/>
        </w:rPr>
      </w:pPr>
      <w:r>
        <w:rPr>
          <w:rFonts w:hint="eastAsia" w:cs="宋体" w:asciiTheme="minorEastAsia" w:hAnsiTheme="minorEastAsia" w:eastAsiaTheme="minorEastAsia"/>
          <w:highlight w:val="none"/>
        </w:rPr>
        <w:t>注：承诺函格式自拟，或参照《符合&lt;中华人民共和国政府采购法&gt;第二十二条规定的条件的承诺及声明函》的格式提供承诺函。</w:t>
      </w:r>
    </w:p>
    <w:p>
      <w:pPr>
        <w:pStyle w:val="29"/>
        <w:spacing w:line="460" w:lineRule="exact"/>
        <w:ind w:firstLine="480" w:firstLineChars="200"/>
        <w:rPr>
          <w:highlight w:val="none"/>
          <w:lang w:val="zh-CN"/>
        </w:rPr>
      </w:pPr>
    </w:p>
    <w:p>
      <w:pPr>
        <w:pStyle w:val="33"/>
        <w:rPr>
          <w:highlight w:val="none"/>
        </w:rPr>
      </w:pPr>
    </w:p>
    <w:p>
      <w:pPr>
        <w:pStyle w:val="51"/>
        <w:numPr>
          <w:ilvl w:val="0"/>
          <w:numId w:val="19"/>
        </w:numPr>
        <w:spacing w:before="120" w:after="120"/>
        <w:ind w:firstLine="0"/>
        <w:rPr>
          <w:highlight w:val="none"/>
        </w:rPr>
      </w:pPr>
      <w:bookmarkStart w:id="859" w:name="_Toc21855"/>
      <w:bookmarkStart w:id="860" w:name="_Toc15708"/>
      <w:bookmarkStart w:id="861" w:name="_Toc21107"/>
      <w:r>
        <w:rPr>
          <w:rFonts w:hint="eastAsia"/>
          <w:highlight w:val="none"/>
        </w:rPr>
        <w:t>符合《中华人民共和国政府采购法》第二十二条规定的条件的承诺及声明函</w:t>
      </w:r>
      <w:bookmarkEnd w:id="859"/>
      <w:bookmarkEnd w:id="860"/>
      <w:bookmarkEnd w:id="861"/>
    </w:p>
    <w:p>
      <w:pPr>
        <w:pStyle w:val="29"/>
        <w:rPr>
          <w:highlight w:val="none"/>
        </w:rPr>
      </w:pPr>
      <w:r>
        <w:rPr>
          <w:rFonts w:hint="eastAsia"/>
          <w:highlight w:val="none"/>
          <w:u w:val="single"/>
        </w:rPr>
        <w:t xml:space="preserve">                   </w:t>
      </w:r>
      <w:r>
        <w:rPr>
          <w:rFonts w:hint="eastAsia"/>
          <w:highlight w:val="none"/>
        </w:rPr>
        <w:t>(采购代理机构名称)：</w:t>
      </w:r>
    </w:p>
    <w:p>
      <w:pPr>
        <w:pStyle w:val="29"/>
        <w:ind w:firstLine="480" w:firstLineChars="200"/>
        <w:rPr>
          <w:highlight w:val="none"/>
        </w:rPr>
      </w:pPr>
      <w:r>
        <w:rPr>
          <w:rFonts w:hint="eastAsia"/>
          <w:highlight w:val="none"/>
        </w:rPr>
        <w:t>我公司作为本次采购项目的投标供应商，根据招标文件要求，现郑重承诺如下：</w:t>
      </w:r>
    </w:p>
    <w:p>
      <w:pPr>
        <w:pStyle w:val="43"/>
        <w:numPr>
          <w:ilvl w:val="2"/>
          <w:numId w:val="20"/>
        </w:numPr>
        <w:ind w:firstLine="480"/>
        <w:rPr>
          <w:highlight w:val="none"/>
        </w:rPr>
      </w:pPr>
      <w:r>
        <w:rPr>
          <w:rFonts w:hint="eastAsia"/>
          <w:highlight w:val="none"/>
        </w:rPr>
        <w:t xml:space="preserve">具有良好的商业信誉和健全的财务会计制度； </w:t>
      </w:r>
    </w:p>
    <w:p>
      <w:pPr>
        <w:pStyle w:val="43"/>
        <w:numPr>
          <w:ilvl w:val="2"/>
          <w:numId w:val="20"/>
        </w:numPr>
        <w:ind w:firstLine="480"/>
        <w:rPr>
          <w:highlight w:val="none"/>
        </w:rPr>
      </w:pPr>
      <w:r>
        <w:rPr>
          <w:rFonts w:hint="eastAsia"/>
          <w:highlight w:val="none"/>
        </w:rPr>
        <w:t xml:space="preserve">具有履行合同所必需的设备和专业技术能力； </w:t>
      </w:r>
    </w:p>
    <w:p>
      <w:pPr>
        <w:pStyle w:val="43"/>
        <w:numPr>
          <w:ilvl w:val="2"/>
          <w:numId w:val="20"/>
        </w:numPr>
        <w:ind w:firstLine="480"/>
        <w:rPr>
          <w:highlight w:val="none"/>
        </w:rPr>
      </w:pPr>
      <w:r>
        <w:rPr>
          <w:rFonts w:hint="eastAsia"/>
          <w:highlight w:val="none"/>
        </w:rPr>
        <w:t xml:space="preserve">具有依法缴纳税收和社会保障资金的良好记录； </w:t>
      </w:r>
    </w:p>
    <w:p>
      <w:pPr>
        <w:pStyle w:val="43"/>
        <w:numPr>
          <w:ilvl w:val="2"/>
          <w:numId w:val="20"/>
        </w:numPr>
        <w:ind w:firstLine="480"/>
        <w:rPr>
          <w:highlight w:val="none"/>
        </w:rPr>
      </w:pPr>
      <w:r>
        <w:rPr>
          <w:rFonts w:hint="eastAsia"/>
          <w:highlight w:val="none"/>
        </w:rPr>
        <w:t>参加本次政府采购活动前三年内，在经营活动中</w:t>
      </w:r>
      <w:r>
        <w:rPr>
          <w:rFonts w:hint="eastAsia"/>
          <w:highlight w:val="none"/>
          <w:u w:val="single"/>
        </w:rPr>
        <w:t xml:space="preserve">      </w:t>
      </w:r>
      <w:r>
        <w:rPr>
          <w:rFonts w:hint="eastAsia"/>
          <w:highlight w:val="none"/>
        </w:rPr>
        <w:t>(</w:t>
      </w:r>
      <w:r>
        <w:rPr>
          <w:rFonts w:hint="eastAsia"/>
          <w:b/>
          <w:bCs/>
          <w:highlight w:val="none"/>
        </w:rPr>
        <w:t>说明：填写“没有”或“有”</w:t>
      </w:r>
      <w:r>
        <w:rPr>
          <w:rFonts w:hint="eastAsia"/>
          <w:highlight w:val="none"/>
        </w:rPr>
        <w:t>)重大违法记录(供应商成立不足三年的，从成立之日起计算)；</w:t>
      </w:r>
    </w:p>
    <w:p>
      <w:pPr>
        <w:pStyle w:val="43"/>
        <w:numPr>
          <w:ilvl w:val="2"/>
          <w:numId w:val="20"/>
        </w:numPr>
        <w:ind w:firstLine="480"/>
        <w:rPr>
          <w:highlight w:val="none"/>
        </w:rPr>
      </w:pPr>
      <w:r>
        <w:rPr>
          <w:rFonts w:hint="eastAsia"/>
          <w:highlight w:val="none"/>
        </w:rPr>
        <w:t>符合法律、行政法规规定的其他条件；</w:t>
      </w:r>
    </w:p>
    <w:p>
      <w:pPr>
        <w:pStyle w:val="43"/>
        <w:numPr>
          <w:ilvl w:val="2"/>
          <w:numId w:val="20"/>
        </w:numPr>
        <w:ind w:firstLine="480"/>
        <w:rPr>
          <w:highlight w:val="none"/>
        </w:rPr>
      </w:pPr>
      <w:r>
        <w:rPr>
          <w:rFonts w:hint="eastAsia"/>
          <w:bCs/>
          <w:highlight w:val="none"/>
        </w:rPr>
        <w:t>未与其他投标供应商组成联合体参与本项目投标</w:t>
      </w:r>
      <w:r>
        <w:rPr>
          <w:rFonts w:hint="eastAsia"/>
          <w:highlight w:val="none"/>
        </w:rPr>
        <w:t>。</w:t>
      </w:r>
    </w:p>
    <w:p>
      <w:pPr>
        <w:pStyle w:val="33"/>
        <w:rPr>
          <w:highlight w:val="none"/>
        </w:rPr>
      </w:pPr>
      <w:r>
        <w:rPr>
          <w:rFonts w:hint="eastAsia"/>
          <w:highlight w:val="none"/>
        </w:rPr>
        <w:t>本公司对上述承诺的内容事项真实性、合法性负责。如经查实上述承诺的内容事项存在虚假，我公司自愿接受以提供虚假材料谋取中标所带来的所有法律责任。</w:t>
      </w:r>
    </w:p>
    <w:p>
      <w:pPr>
        <w:pStyle w:val="29"/>
        <w:rPr>
          <w:highlight w:val="none"/>
        </w:rPr>
      </w:pPr>
    </w:p>
    <w:p>
      <w:pPr>
        <w:pStyle w:val="29"/>
        <w:rPr>
          <w:highlight w:val="none"/>
        </w:rPr>
      </w:pPr>
    </w:p>
    <w:p>
      <w:pPr>
        <w:pStyle w:val="33"/>
        <w:rPr>
          <w:highlight w:val="none"/>
        </w:rPr>
      </w:pPr>
      <w:r>
        <w:rPr>
          <w:rFonts w:hint="eastAsia"/>
          <w:highlight w:val="none"/>
        </w:rPr>
        <w:t>投标人名称：</w:t>
      </w:r>
      <w:r>
        <w:rPr>
          <w:rFonts w:hint="eastAsia"/>
          <w:highlight w:val="none"/>
          <w:u w:val="single"/>
        </w:rPr>
        <w:t xml:space="preserve">             </w:t>
      </w:r>
    </w:p>
    <w:p>
      <w:pPr>
        <w:pStyle w:val="33"/>
        <w:rPr>
          <w:highlight w:val="none"/>
        </w:rPr>
      </w:pPr>
      <w:r>
        <w:rPr>
          <w:rFonts w:hint="eastAsia"/>
          <w:highlight w:val="none"/>
        </w:rPr>
        <w:t>投标日期：</w:t>
      </w:r>
      <w:r>
        <w:rPr>
          <w:rFonts w:hint="eastAsia"/>
          <w:highlight w:val="none"/>
          <w:u w:val="single"/>
        </w:rPr>
        <w:t xml:space="preserve">                </w:t>
      </w:r>
      <w:r>
        <w:rPr>
          <w:rFonts w:hint="eastAsia"/>
          <w:highlight w:val="none"/>
        </w:rPr>
        <w:t xml:space="preserve">  </w:t>
      </w:r>
    </w:p>
    <w:p>
      <w:pPr>
        <w:pStyle w:val="53"/>
        <w:ind w:firstLine="482"/>
        <w:rPr>
          <w:highlight w:val="none"/>
        </w:rPr>
      </w:pPr>
      <w:r>
        <w:rPr>
          <w:rFonts w:hint="eastAsia"/>
          <w:highlight w:val="none"/>
        </w:rPr>
        <w:t>注：本部分所要求的承诺函可参照本格式或自拟格式填写均有效。</w:t>
      </w:r>
    </w:p>
    <w:p>
      <w:pPr>
        <w:pStyle w:val="29"/>
        <w:rPr>
          <w:highlight w:val="none"/>
        </w:rPr>
      </w:pPr>
      <w:r>
        <w:rPr>
          <w:rFonts w:hint="eastAsia"/>
          <w:highlight w:val="none"/>
        </w:rPr>
        <w:br w:type="page"/>
      </w:r>
    </w:p>
    <w:p>
      <w:pPr>
        <w:pStyle w:val="29"/>
        <w:rPr>
          <w:highlight w:val="none"/>
        </w:rPr>
      </w:pPr>
      <w:bookmarkStart w:id="862" w:name="_Toc18702"/>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p>
    <w:p>
      <w:pPr>
        <w:pStyle w:val="29"/>
        <w:rPr>
          <w:highlight w:val="none"/>
        </w:rPr>
      </w:pPr>
      <w:bookmarkStart w:id="863" w:name="_Toc14607"/>
    </w:p>
    <w:p>
      <w:pPr>
        <w:pStyle w:val="29"/>
        <w:rPr>
          <w:highlight w:val="none"/>
        </w:rPr>
      </w:pPr>
    </w:p>
    <w:p>
      <w:pPr>
        <w:pStyle w:val="29"/>
        <w:rPr>
          <w:highlight w:val="none"/>
        </w:rPr>
      </w:pPr>
    </w:p>
    <w:p>
      <w:pPr>
        <w:pStyle w:val="29"/>
        <w:rPr>
          <w:highlight w:val="none"/>
        </w:rPr>
      </w:pPr>
    </w:p>
    <w:p>
      <w:pPr>
        <w:pStyle w:val="30"/>
        <w:numPr>
          <w:ilvl w:val="1"/>
          <w:numId w:val="0"/>
        </w:numPr>
        <w:jc w:val="center"/>
        <w:rPr>
          <w:sz w:val="32"/>
          <w:szCs w:val="32"/>
          <w:highlight w:val="none"/>
        </w:rPr>
      </w:pPr>
      <w:bookmarkStart w:id="864" w:name="_Toc16782"/>
      <w:r>
        <w:rPr>
          <w:rFonts w:hint="eastAsia"/>
          <w:sz w:val="32"/>
          <w:szCs w:val="32"/>
          <w:highlight w:val="none"/>
        </w:rPr>
        <w:t>第二部分 其他投标文件(格式)</w:t>
      </w:r>
      <w:bookmarkEnd w:id="863"/>
      <w:bookmarkEnd w:id="864"/>
    </w:p>
    <w:p>
      <w:pPr>
        <w:pStyle w:val="29"/>
        <w:rPr>
          <w:highlight w:val="none"/>
        </w:rPr>
      </w:pPr>
      <w:bookmarkStart w:id="865" w:name="_Toc26038"/>
      <w:r>
        <w:rPr>
          <w:rFonts w:hint="eastAsia"/>
          <w:highlight w:val="none"/>
        </w:rPr>
        <w:br w:type="page"/>
      </w:r>
    </w:p>
    <w:bookmarkEnd w:id="862"/>
    <w:bookmarkEnd w:id="865"/>
    <w:p>
      <w:pPr>
        <w:pageBreakBefore/>
        <w:numPr>
          <w:ilvl w:val="0"/>
          <w:numId w:val="21"/>
        </w:numPr>
        <w:wordWrap w:val="0"/>
        <w:topLinePunct/>
        <w:spacing w:before="120" w:beforeLines="50" w:after="120" w:afterLines="50"/>
        <w:jc w:val="center"/>
        <w:outlineLvl w:val="2"/>
        <w:rPr>
          <w:b/>
          <w:snapToGrid w:val="0"/>
          <w:sz w:val="28"/>
          <w:highlight w:val="none"/>
        </w:rPr>
      </w:pPr>
      <w:bookmarkStart w:id="866" w:name="_Toc12758"/>
      <w:bookmarkStart w:id="867" w:name="_Toc2311"/>
      <w:bookmarkStart w:id="868" w:name="_Toc15261"/>
      <w:bookmarkStart w:id="869" w:name="_Toc881"/>
      <w:bookmarkStart w:id="870" w:name="_Toc18724"/>
      <w:r>
        <w:rPr>
          <w:rFonts w:hint="eastAsia"/>
          <w:b/>
          <w:snapToGrid w:val="0"/>
          <w:sz w:val="28"/>
          <w:highlight w:val="none"/>
        </w:rPr>
        <w:t>投标函</w:t>
      </w:r>
      <w:bookmarkEnd w:id="866"/>
      <w:bookmarkEnd w:id="867"/>
      <w:bookmarkEnd w:id="868"/>
    </w:p>
    <w:p>
      <w:pPr>
        <w:wordWrap w:val="0"/>
        <w:topLinePunct/>
        <w:rPr>
          <w:snapToGrid w:val="0"/>
          <w:highlight w:val="none"/>
          <w:lang w:val="zh-CN"/>
        </w:rPr>
      </w:pPr>
      <w:r>
        <w:rPr>
          <w:rFonts w:hint="eastAsia"/>
          <w:snapToGrid w:val="0"/>
          <w:highlight w:val="none"/>
          <w:lang w:val="zh-CN"/>
        </w:rPr>
        <w:t>致：四川乾新招投标代理有限公司　</w:t>
      </w:r>
    </w:p>
    <w:p>
      <w:pPr>
        <w:wordWrap w:val="0"/>
        <w:topLinePunct/>
        <w:ind w:firstLine="480" w:firstLineChars="200"/>
        <w:rPr>
          <w:highlight w:val="none"/>
        </w:rPr>
      </w:pPr>
      <w:r>
        <w:rPr>
          <w:rFonts w:hint="eastAsia"/>
          <w:highlight w:val="none"/>
        </w:rPr>
        <w:t>我方全面研究了“</w:t>
      </w:r>
      <w:r>
        <w:rPr>
          <w:rFonts w:hint="eastAsia"/>
          <w:highlight w:val="none"/>
          <w:u w:val="single"/>
        </w:rPr>
        <w:t xml:space="preserve">               </w:t>
      </w:r>
      <w:r>
        <w:rPr>
          <w:rFonts w:hint="eastAsia"/>
          <w:highlight w:val="none"/>
        </w:rPr>
        <w:t>(项目名称)(项目编号：</w:t>
      </w:r>
      <w:r>
        <w:rPr>
          <w:rFonts w:hint="eastAsia"/>
          <w:highlight w:val="none"/>
          <w:u w:val="single"/>
        </w:rPr>
        <w:t xml:space="preserve">               </w:t>
      </w:r>
      <w:r>
        <w:rPr>
          <w:rFonts w:hint="eastAsia"/>
          <w:highlight w:val="none"/>
        </w:rPr>
        <w:t>)”的招标文件，决定参加贵单位组织的本项目投标。我方授权</w:t>
      </w:r>
      <w:r>
        <w:rPr>
          <w:rFonts w:hint="eastAsia"/>
          <w:highlight w:val="none"/>
          <w:u w:val="single"/>
        </w:rPr>
        <w:t xml:space="preserve">               </w:t>
      </w:r>
      <w:r>
        <w:rPr>
          <w:rFonts w:hint="eastAsia"/>
          <w:highlight w:val="none"/>
        </w:rPr>
        <w:t>(姓名、职务)代表我方</w:t>
      </w:r>
      <w:r>
        <w:rPr>
          <w:rFonts w:hint="eastAsia"/>
          <w:highlight w:val="none"/>
          <w:u w:val="single"/>
        </w:rPr>
        <w:t xml:space="preserve">               </w:t>
      </w:r>
      <w:r>
        <w:rPr>
          <w:rFonts w:hint="eastAsia"/>
          <w:highlight w:val="none"/>
        </w:rPr>
        <w:t>(投标人名称)全权处理本项目投标的有关事宜。</w:t>
      </w:r>
    </w:p>
    <w:p>
      <w:pPr>
        <w:numPr>
          <w:ilvl w:val="2"/>
          <w:numId w:val="22"/>
        </w:numPr>
        <w:wordWrap w:val="0"/>
        <w:topLinePunct/>
        <w:ind w:firstLine="480" w:firstLineChars="200"/>
        <w:rPr>
          <w:snapToGrid w:val="0"/>
          <w:highlight w:val="none"/>
        </w:rPr>
      </w:pPr>
      <w:r>
        <w:rPr>
          <w:rFonts w:hint="eastAsia"/>
          <w:snapToGrid w:val="0"/>
          <w:highlight w:val="none"/>
        </w:rPr>
        <w:t>我方自愿按照招标文件规定的各项要求向采购人提供所需货物及服务，投标总价为人民币</w:t>
      </w:r>
      <w:r>
        <w:rPr>
          <w:rFonts w:hint="eastAsia"/>
          <w:snapToGrid w:val="0"/>
          <w:highlight w:val="none"/>
          <w:u w:val="single"/>
        </w:rPr>
        <w:t xml:space="preserve">          </w:t>
      </w:r>
      <w:r>
        <w:rPr>
          <w:rFonts w:hint="eastAsia"/>
          <w:snapToGrid w:val="0"/>
          <w:highlight w:val="none"/>
        </w:rPr>
        <w:t>元(大写：</w:t>
      </w:r>
      <w:r>
        <w:rPr>
          <w:rFonts w:hint="eastAsia"/>
          <w:snapToGrid w:val="0"/>
          <w:highlight w:val="none"/>
          <w:u w:val="single"/>
        </w:rPr>
        <w:t xml:space="preserve">人民币             </w:t>
      </w:r>
      <w:r>
        <w:rPr>
          <w:rFonts w:hint="eastAsia"/>
          <w:snapToGrid w:val="0"/>
          <w:highlight w:val="none"/>
        </w:rPr>
        <w:t>)，我方将严格履行合同规定的责任和义务，履约时间为</w:t>
      </w:r>
      <w:r>
        <w:rPr>
          <w:rFonts w:hint="eastAsia"/>
          <w:snapToGrid w:val="0"/>
          <w:highlight w:val="none"/>
          <w:u w:val="single"/>
        </w:rPr>
        <w:t xml:space="preserve">             </w:t>
      </w:r>
      <w:r>
        <w:rPr>
          <w:rFonts w:hint="eastAsia"/>
          <w:snapToGrid w:val="0"/>
          <w:highlight w:val="none"/>
        </w:rPr>
        <w:t>。</w:t>
      </w:r>
    </w:p>
    <w:p>
      <w:pPr>
        <w:numPr>
          <w:ilvl w:val="2"/>
          <w:numId w:val="22"/>
        </w:numPr>
        <w:wordWrap w:val="0"/>
        <w:topLinePunct/>
        <w:ind w:firstLine="480" w:firstLineChars="200"/>
        <w:rPr>
          <w:snapToGrid w:val="0"/>
          <w:highlight w:val="none"/>
        </w:rPr>
      </w:pPr>
      <w:r>
        <w:rPr>
          <w:rFonts w:hint="eastAsia"/>
          <w:snapToGrid w:val="0"/>
          <w:highlight w:val="none"/>
        </w:rPr>
        <w:t>我方承诺：投标有效期为提交投标文件的截止之日起90日。</w:t>
      </w:r>
    </w:p>
    <w:p>
      <w:pPr>
        <w:numPr>
          <w:ilvl w:val="2"/>
          <w:numId w:val="22"/>
        </w:numPr>
        <w:wordWrap w:val="0"/>
        <w:topLinePunct/>
        <w:ind w:firstLine="480" w:firstLineChars="200"/>
        <w:rPr>
          <w:snapToGrid w:val="0"/>
          <w:highlight w:val="none"/>
        </w:rPr>
      </w:pPr>
      <w:r>
        <w:rPr>
          <w:rFonts w:hint="eastAsia"/>
          <w:snapToGrid w:val="0"/>
          <w:highlight w:val="none"/>
        </w:rPr>
        <w:t>我方完全理解采购人不一定将合同授予最低报价的投标人的行为。</w:t>
      </w:r>
    </w:p>
    <w:p>
      <w:pPr>
        <w:numPr>
          <w:ilvl w:val="2"/>
          <w:numId w:val="22"/>
        </w:numPr>
        <w:wordWrap w:val="0"/>
        <w:topLinePunct/>
        <w:ind w:firstLine="480" w:firstLineChars="200"/>
        <w:rPr>
          <w:snapToGrid w:val="0"/>
          <w:highlight w:val="none"/>
        </w:rPr>
      </w:pPr>
      <w:r>
        <w:rPr>
          <w:rFonts w:hint="eastAsia"/>
          <w:snapToGrid w:val="0"/>
          <w:highlight w:val="none"/>
        </w:rPr>
        <w:t>一旦我方中标：</w:t>
      </w:r>
    </w:p>
    <w:p>
      <w:pPr>
        <w:numPr>
          <w:ilvl w:val="3"/>
          <w:numId w:val="1"/>
        </w:numPr>
        <w:ind w:firstLine="480" w:firstLineChars="200"/>
        <w:rPr>
          <w:highlight w:val="none"/>
        </w:rPr>
      </w:pPr>
      <w:r>
        <w:rPr>
          <w:rFonts w:hint="eastAsia"/>
          <w:highlight w:val="none"/>
        </w:rPr>
        <w:t>我方承诺在收到中标通知书后，在规定的期限内与采购人签订合同。</w:t>
      </w:r>
    </w:p>
    <w:p>
      <w:pPr>
        <w:numPr>
          <w:ilvl w:val="3"/>
          <w:numId w:val="1"/>
        </w:numPr>
        <w:ind w:firstLine="480" w:firstLineChars="200"/>
        <w:rPr>
          <w:highlight w:val="none"/>
        </w:rPr>
      </w:pPr>
      <w:r>
        <w:rPr>
          <w:rFonts w:hint="eastAsia"/>
          <w:highlight w:val="none"/>
        </w:rPr>
        <w:t>我方承诺按照招标文件规定的金额和方式向采购人缴纳履约保证金。</w:t>
      </w:r>
    </w:p>
    <w:p>
      <w:pPr>
        <w:numPr>
          <w:ilvl w:val="3"/>
          <w:numId w:val="1"/>
        </w:numPr>
        <w:ind w:firstLine="480" w:firstLineChars="200"/>
        <w:rPr>
          <w:highlight w:val="none"/>
        </w:rPr>
      </w:pPr>
      <w:r>
        <w:rPr>
          <w:rFonts w:hint="eastAsia"/>
          <w:highlight w:val="none"/>
        </w:rPr>
        <w:t>我方将严格履行政府采购合同规定的责任和义务。</w:t>
      </w:r>
    </w:p>
    <w:p>
      <w:pPr>
        <w:numPr>
          <w:ilvl w:val="3"/>
          <w:numId w:val="1"/>
        </w:numPr>
        <w:ind w:firstLine="480" w:firstLineChars="200"/>
        <w:rPr>
          <w:highlight w:val="none"/>
        </w:rPr>
      </w:pPr>
      <w:r>
        <w:rPr>
          <w:rFonts w:hint="eastAsia"/>
          <w:highlight w:val="none"/>
        </w:rPr>
        <w:t>我方愿意提供与投标报价有关的文件资料，并保证我方已提供和将要提供的文件资料是真实、准确的。</w:t>
      </w:r>
    </w:p>
    <w:p>
      <w:pPr>
        <w:numPr>
          <w:ilvl w:val="3"/>
          <w:numId w:val="1"/>
        </w:numPr>
        <w:ind w:firstLine="480" w:firstLineChars="200"/>
        <w:rPr>
          <w:highlight w:val="none"/>
        </w:rPr>
      </w:pPr>
      <w:r>
        <w:rPr>
          <w:rFonts w:hint="eastAsia"/>
          <w:highlight w:val="none"/>
        </w:rPr>
        <w:t>我方自愿按照招标文件规定的各项要求完成采购项目，接受采购人按照政府采购合同约定金额支付采购资金。</w:t>
      </w:r>
    </w:p>
    <w:p>
      <w:pPr>
        <w:numPr>
          <w:ilvl w:val="3"/>
          <w:numId w:val="1"/>
        </w:numPr>
        <w:ind w:firstLine="480" w:firstLineChars="200"/>
        <w:rPr>
          <w:highlight w:val="none"/>
        </w:rPr>
      </w:pPr>
      <w:r>
        <w:rPr>
          <w:rFonts w:hint="eastAsia"/>
          <w:highlight w:val="none"/>
        </w:rPr>
        <w:t>我方在参与本项目履约过程中涉及国家相关强制标准的，均按照该标准执行。</w:t>
      </w:r>
    </w:p>
    <w:p>
      <w:pPr>
        <w:numPr>
          <w:ilvl w:val="2"/>
          <w:numId w:val="22"/>
        </w:numPr>
        <w:wordWrap w:val="0"/>
        <w:topLinePunct/>
        <w:ind w:firstLine="480" w:firstLineChars="200"/>
        <w:rPr>
          <w:snapToGrid w:val="0"/>
          <w:highlight w:val="none"/>
        </w:rPr>
      </w:pPr>
      <w:r>
        <w:rPr>
          <w:rFonts w:hint="eastAsia"/>
          <w:snapToGrid w:val="0"/>
          <w:highlight w:val="none"/>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wordWrap w:val="0"/>
        <w:topLinePunct/>
        <w:ind w:firstLine="480" w:firstLineChars="200"/>
        <w:rPr>
          <w:snapToGrid w:val="0"/>
          <w:highlight w:val="none"/>
        </w:rPr>
      </w:pPr>
    </w:p>
    <w:p>
      <w:pPr>
        <w:wordWrap w:val="0"/>
        <w:topLinePunct/>
        <w:ind w:firstLine="480" w:firstLineChars="200"/>
        <w:rPr>
          <w:snapToGrid w:val="0"/>
          <w:highlight w:val="none"/>
        </w:rPr>
      </w:pPr>
      <w:r>
        <w:rPr>
          <w:rFonts w:hint="eastAsia"/>
          <w:snapToGrid w:val="0"/>
          <w:highlight w:val="none"/>
        </w:rPr>
        <w:t>投标人名称：</w:t>
      </w:r>
      <w:r>
        <w:rPr>
          <w:rFonts w:hint="eastAsia" w:asciiTheme="minorEastAsia" w:hAnsiTheme="minorEastAsia" w:eastAsiaTheme="minorEastAsia" w:cstheme="minorEastAsia"/>
          <w:bCs/>
          <w:snapToGrid w:val="0"/>
          <w:highlight w:val="none"/>
          <w:u w:val="single"/>
        </w:rPr>
        <w:t xml:space="preserve">               </w:t>
      </w:r>
    </w:p>
    <w:p>
      <w:pPr>
        <w:wordWrap w:val="0"/>
        <w:topLinePunct/>
        <w:ind w:firstLine="480" w:firstLineChars="200"/>
        <w:rPr>
          <w:snapToGrid w:val="0"/>
          <w:highlight w:val="none"/>
        </w:rPr>
      </w:pPr>
      <w:r>
        <w:rPr>
          <w:rFonts w:hint="eastAsia"/>
          <w:snapToGrid w:val="0"/>
          <w:highlight w:val="none"/>
        </w:rPr>
        <w:t>通讯地址：</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邮政编码：</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联系电话：</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传    真：</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wordWrap w:val="0"/>
        <w:topLinePunct/>
        <w:ind w:firstLine="480" w:firstLineChars="200"/>
        <w:rPr>
          <w:snapToGrid w:val="0"/>
          <w:highlight w:val="none"/>
        </w:rPr>
      </w:pPr>
      <w:r>
        <w:rPr>
          <w:rFonts w:hint="eastAsia"/>
          <w:snapToGrid w:val="0"/>
          <w:highlight w:val="none"/>
        </w:rPr>
        <w:t>投标日期：</w:t>
      </w:r>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t xml:space="preserve">     </w:t>
      </w:r>
    </w:p>
    <w:p>
      <w:pPr>
        <w:rPr>
          <w:highlight w:val="none"/>
        </w:rPr>
      </w:pPr>
      <w:r>
        <w:rPr>
          <w:rFonts w:hint="eastAsia"/>
          <w:highlight w:val="none"/>
        </w:rPr>
        <w:br w:type="page"/>
      </w:r>
    </w:p>
    <w:p>
      <w:pPr>
        <w:pageBreakBefore/>
        <w:numPr>
          <w:ilvl w:val="0"/>
          <w:numId w:val="21"/>
        </w:numPr>
        <w:wordWrap w:val="0"/>
        <w:topLinePunct/>
        <w:spacing w:before="120" w:beforeLines="50" w:after="120" w:afterLines="50"/>
        <w:jc w:val="center"/>
        <w:outlineLvl w:val="2"/>
        <w:rPr>
          <w:b/>
          <w:snapToGrid w:val="0"/>
          <w:sz w:val="28"/>
          <w:highlight w:val="none"/>
        </w:rPr>
      </w:pPr>
      <w:bookmarkStart w:id="871" w:name="_Toc32756"/>
      <w:bookmarkStart w:id="872" w:name="_Toc18311"/>
      <w:r>
        <w:rPr>
          <w:rFonts w:hint="eastAsia"/>
          <w:b/>
          <w:snapToGrid w:val="0"/>
          <w:sz w:val="28"/>
          <w:highlight w:val="none"/>
        </w:rPr>
        <w:t>实质性要求承诺</w:t>
      </w:r>
      <w:bookmarkEnd w:id="871"/>
      <w:bookmarkEnd w:id="872"/>
    </w:p>
    <w:p>
      <w:pPr>
        <w:wordWrap w:val="0"/>
        <w:topLinePunct/>
        <w:rPr>
          <w:snapToGrid w:val="0"/>
          <w:highlight w:val="none"/>
        </w:rPr>
      </w:pPr>
      <w:r>
        <w:rPr>
          <w:rFonts w:hint="eastAsia"/>
          <w:snapToGrid w:val="0"/>
          <w:highlight w:val="none"/>
          <w:u w:val="single"/>
        </w:rPr>
        <w:t xml:space="preserve">                   </w:t>
      </w:r>
      <w:r>
        <w:rPr>
          <w:rFonts w:hint="eastAsia"/>
          <w:snapToGrid w:val="0"/>
          <w:highlight w:val="none"/>
        </w:rPr>
        <w:t>(采购代理机构名称)：</w:t>
      </w:r>
    </w:p>
    <w:p>
      <w:pPr>
        <w:wordWrap w:val="0"/>
        <w:topLinePunct/>
        <w:ind w:firstLine="480" w:firstLineChars="200"/>
        <w:rPr>
          <w:highlight w:val="none"/>
        </w:rPr>
      </w:pPr>
      <w:r>
        <w:rPr>
          <w:rFonts w:hint="eastAsia"/>
          <w:highlight w:val="none"/>
        </w:rPr>
        <w:t>我方作为本次采购项目的投标人，根据招标文件要求，现郑重承诺及声明如下：</w:t>
      </w:r>
    </w:p>
    <w:p>
      <w:pPr>
        <w:numPr>
          <w:ilvl w:val="2"/>
          <w:numId w:val="23"/>
        </w:numPr>
        <w:wordWrap w:val="0"/>
        <w:topLinePunct/>
        <w:ind w:firstLine="480" w:firstLineChars="200"/>
        <w:rPr>
          <w:snapToGrid w:val="0"/>
          <w:highlight w:val="none"/>
        </w:rPr>
      </w:pPr>
      <w:r>
        <w:rPr>
          <w:rFonts w:hint="eastAsia"/>
          <w:snapToGrid w:val="0"/>
          <w:highlight w:val="none"/>
        </w:rPr>
        <w:t>我方已认真阅读并接受本项目采购文件的全部实质性要求。</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snapToGrid w:val="0"/>
          <w:highlight w:val="none"/>
          <w:u w:val="single"/>
        </w:rPr>
        <w:t xml:space="preserve">                  </w:t>
      </w:r>
      <w:r>
        <w:rPr>
          <w:rFonts w:hint="eastAsia"/>
          <w:snapToGrid w:val="0"/>
          <w:highlight w:val="none"/>
        </w:rPr>
        <w:t>；存在管理关系的单位为：</w:t>
      </w:r>
      <w:r>
        <w:rPr>
          <w:rFonts w:hint="eastAsia"/>
          <w:snapToGrid w:val="0"/>
          <w:highlight w:val="none"/>
          <w:u w:val="single"/>
        </w:rPr>
        <w:t xml:space="preserve">                      </w:t>
      </w:r>
      <w:r>
        <w:rPr>
          <w:rFonts w:hint="eastAsia"/>
          <w:snapToGrid w:val="0"/>
          <w:highlight w:val="none"/>
        </w:rPr>
        <w:t>(如不存在直接控股、管理关系的相关供应商填“无”)。</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我方参加本次采购活动前本单位未对本次采购项目提供过整体设计、规范编制或者项目管理、监理、检测等服务。</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我方参加本次采购活动，不存在我单位实际控制人或者中高级管理人员是本项目采购代理机构的工作人员的情形。</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我方参加本次采购活动，不存在同一母公司的两家以上的子公司以不同供应商身份同时参加本项目同一合同项下的采购活动的情形。</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我方参加本次采购活动，与采购代理机构不存在关联关系，不为采购代理机构的母公司或子公司。</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我方参加本次采购活动，不存在和其他供应商在同一合同项下的采购项目中，同时委托同一个自然人、同一家庭的人员、同一单位的人员作为代理人的行为。</w:t>
      </w:r>
    </w:p>
    <w:p>
      <w:pPr>
        <w:numPr>
          <w:ilvl w:val="2"/>
          <w:numId w:val="23"/>
        </w:numPr>
        <w:wordWrap w:val="0"/>
        <w:topLinePunct/>
        <w:ind w:firstLine="480" w:firstLineChars="200"/>
        <w:rPr>
          <w:snapToGrid w:val="0"/>
          <w:highlight w:val="none"/>
        </w:rPr>
      </w:pPr>
      <w:r>
        <w:rPr>
          <w:rFonts w:hint="eastAsia"/>
          <w:snapToGrid w:val="0"/>
          <w:highlight w:val="none"/>
        </w:rPr>
        <w:t>我方投标文件中提供的任何资料和技术、服务、商务等响应承诺情况都是真实的、有效的、合法的。</w:t>
      </w:r>
    </w:p>
    <w:p>
      <w:pPr>
        <w:numPr>
          <w:ilvl w:val="2"/>
          <w:numId w:val="23"/>
        </w:numPr>
        <w:wordWrap w:val="0"/>
        <w:topLinePunct/>
        <w:ind w:firstLine="480" w:firstLineChars="200"/>
        <w:rPr>
          <w:snapToGrid w:val="0"/>
          <w:highlight w:val="none"/>
        </w:rPr>
      </w:pPr>
      <w:r>
        <w:rPr>
          <w:rFonts w:hint="eastAsia"/>
          <w:snapToGrid w:val="0"/>
          <w:highlight w:val="none"/>
        </w:rPr>
        <w:t>我方参加本次采购活动，我方完全同意招标文件中关于“投标费用”、“合同分包”、“合同转包”、“履约保证金”等实质性要求，并承诺严格按照招标文件要求履行。</w:t>
      </w:r>
    </w:p>
    <w:p>
      <w:pPr>
        <w:numPr>
          <w:ilvl w:val="2"/>
          <w:numId w:val="23"/>
        </w:numPr>
        <w:wordWrap w:val="0"/>
        <w:topLinePunct/>
        <w:ind w:firstLine="480" w:firstLineChars="200"/>
        <w:rPr>
          <w:snapToGrid w:val="0"/>
          <w:highlight w:val="none"/>
        </w:rPr>
      </w:pPr>
      <w:r>
        <w:rPr>
          <w:rFonts w:hint="eastAsia"/>
          <w:snapToGrid w:val="0"/>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snapToGrid w:val="0"/>
          <w:highlight w:val="none"/>
        </w:rPr>
        <w:t>承诺</w:t>
      </w:r>
      <w:r>
        <w:rPr>
          <w:rFonts w:hint="eastAsia"/>
          <w:snapToGrid w:val="0"/>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ordWrap w:val="0"/>
        <w:topLinePunct/>
        <w:ind w:firstLine="480" w:firstLineChars="200"/>
        <w:rPr>
          <w:highlight w:val="none"/>
        </w:rPr>
      </w:pPr>
      <w:r>
        <w:rPr>
          <w:rFonts w:hint="eastAsia"/>
          <w:highlight w:val="none"/>
        </w:rPr>
        <w:t>本公司对上述承诺的内容事项真实性、合法性负责。如经查实上述承诺的内容事项存在虚假，我公司自愿接受以提供虚假材料谋取中标所带来的所有法律责任。</w:t>
      </w: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r>
        <w:rPr>
          <w:rFonts w:hint="eastAsia"/>
          <w:highlight w:val="none"/>
        </w:rPr>
        <w:br w:type="page"/>
      </w:r>
    </w:p>
    <w:p>
      <w:pPr>
        <w:pageBreakBefore/>
        <w:numPr>
          <w:ilvl w:val="0"/>
          <w:numId w:val="21"/>
        </w:numPr>
        <w:wordWrap w:val="0"/>
        <w:topLinePunct/>
        <w:spacing w:before="120" w:beforeLines="50" w:after="120" w:afterLines="50"/>
        <w:jc w:val="center"/>
        <w:outlineLvl w:val="2"/>
        <w:rPr>
          <w:b/>
          <w:snapToGrid w:val="0"/>
          <w:sz w:val="28"/>
          <w:highlight w:val="none"/>
        </w:rPr>
      </w:pPr>
      <w:bookmarkStart w:id="873" w:name="_Toc25276"/>
      <w:bookmarkStart w:id="874" w:name="_Toc17762"/>
      <w:bookmarkStart w:id="875" w:name="_Toc14082"/>
      <w:r>
        <w:rPr>
          <w:rFonts w:hint="eastAsia"/>
          <w:b/>
          <w:snapToGrid w:val="0"/>
          <w:sz w:val="28"/>
          <w:highlight w:val="none"/>
        </w:rPr>
        <w:t>投标人基本情况表</w:t>
      </w:r>
      <w:bookmarkEnd w:id="873"/>
      <w:bookmarkEnd w:id="874"/>
      <w:bookmarkEnd w:id="875"/>
    </w:p>
    <w:tbl>
      <w:tblPr>
        <w:tblStyle w:val="22"/>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投标人名称</w:t>
            </w:r>
          </w:p>
        </w:tc>
        <w:tc>
          <w:tcPr>
            <w:tcW w:w="8000" w:type="dxa"/>
            <w:gridSpan w:val="7"/>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注册地址</w:t>
            </w:r>
          </w:p>
        </w:tc>
        <w:tc>
          <w:tcPr>
            <w:tcW w:w="3826" w:type="dxa"/>
            <w:gridSpan w:val="3"/>
            <w:vAlign w:val="center"/>
          </w:tcPr>
          <w:p>
            <w:pPr>
              <w:wordWrap w:val="0"/>
              <w:topLinePunct/>
              <w:spacing w:line="480" w:lineRule="exact"/>
              <w:jc w:val="center"/>
              <w:rPr>
                <w:sz w:val="21"/>
                <w:highlight w:val="none"/>
              </w:rPr>
            </w:pPr>
          </w:p>
        </w:tc>
        <w:tc>
          <w:tcPr>
            <w:tcW w:w="1548" w:type="dxa"/>
            <w:vAlign w:val="center"/>
          </w:tcPr>
          <w:p>
            <w:pPr>
              <w:wordWrap w:val="0"/>
              <w:topLinePunct/>
              <w:spacing w:line="480" w:lineRule="exact"/>
              <w:jc w:val="center"/>
              <w:rPr>
                <w:sz w:val="21"/>
                <w:highlight w:val="none"/>
              </w:rPr>
            </w:pPr>
            <w:r>
              <w:rPr>
                <w:rFonts w:hint="eastAsia"/>
                <w:sz w:val="21"/>
                <w:highlight w:val="none"/>
              </w:rPr>
              <w:t>邮政编码</w:t>
            </w:r>
          </w:p>
        </w:tc>
        <w:tc>
          <w:tcPr>
            <w:tcW w:w="2626" w:type="dxa"/>
            <w:gridSpan w:val="3"/>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wordWrap w:val="0"/>
              <w:topLinePunct/>
              <w:spacing w:line="480" w:lineRule="exact"/>
              <w:jc w:val="center"/>
              <w:rPr>
                <w:sz w:val="21"/>
                <w:highlight w:val="none"/>
              </w:rPr>
            </w:pPr>
            <w:r>
              <w:rPr>
                <w:rFonts w:hint="eastAsia"/>
                <w:sz w:val="21"/>
                <w:highlight w:val="none"/>
              </w:rPr>
              <w:t>联系方式</w:t>
            </w:r>
          </w:p>
        </w:tc>
        <w:tc>
          <w:tcPr>
            <w:tcW w:w="939" w:type="dxa"/>
            <w:vAlign w:val="center"/>
          </w:tcPr>
          <w:p>
            <w:pPr>
              <w:wordWrap w:val="0"/>
              <w:topLinePunct/>
              <w:spacing w:line="480" w:lineRule="exact"/>
              <w:jc w:val="center"/>
              <w:rPr>
                <w:sz w:val="21"/>
                <w:highlight w:val="none"/>
              </w:rPr>
            </w:pPr>
            <w:r>
              <w:rPr>
                <w:rFonts w:hint="eastAsia"/>
                <w:sz w:val="21"/>
                <w:highlight w:val="none"/>
              </w:rPr>
              <w:t>联系人</w:t>
            </w:r>
          </w:p>
        </w:tc>
        <w:tc>
          <w:tcPr>
            <w:tcW w:w="2887" w:type="dxa"/>
            <w:gridSpan w:val="2"/>
            <w:vAlign w:val="center"/>
          </w:tcPr>
          <w:p>
            <w:pPr>
              <w:wordWrap w:val="0"/>
              <w:topLinePunct/>
              <w:spacing w:line="480" w:lineRule="exact"/>
              <w:jc w:val="center"/>
              <w:rPr>
                <w:sz w:val="21"/>
                <w:highlight w:val="none"/>
              </w:rPr>
            </w:pPr>
          </w:p>
        </w:tc>
        <w:tc>
          <w:tcPr>
            <w:tcW w:w="1548" w:type="dxa"/>
            <w:vAlign w:val="center"/>
          </w:tcPr>
          <w:p>
            <w:pPr>
              <w:wordWrap w:val="0"/>
              <w:topLinePunct/>
              <w:spacing w:line="480" w:lineRule="exact"/>
              <w:jc w:val="center"/>
              <w:rPr>
                <w:sz w:val="21"/>
                <w:highlight w:val="none"/>
              </w:rPr>
            </w:pPr>
            <w:r>
              <w:rPr>
                <w:rFonts w:hint="eastAsia"/>
                <w:sz w:val="21"/>
                <w:highlight w:val="none"/>
              </w:rPr>
              <w:t>电话</w:t>
            </w:r>
          </w:p>
        </w:tc>
        <w:tc>
          <w:tcPr>
            <w:tcW w:w="2626" w:type="dxa"/>
            <w:gridSpan w:val="3"/>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wordWrap w:val="0"/>
              <w:topLinePunct/>
              <w:spacing w:line="480" w:lineRule="exact"/>
              <w:jc w:val="center"/>
              <w:rPr>
                <w:sz w:val="21"/>
                <w:highlight w:val="none"/>
              </w:rPr>
            </w:pPr>
          </w:p>
        </w:tc>
        <w:tc>
          <w:tcPr>
            <w:tcW w:w="939" w:type="dxa"/>
            <w:vAlign w:val="center"/>
          </w:tcPr>
          <w:p>
            <w:pPr>
              <w:wordWrap w:val="0"/>
              <w:topLinePunct/>
              <w:spacing w:line="480" w:lineRule="exact"/>
              <w:jc w:val="center"/>
              <w:rPr>
                <w:sz w:val="21"/>
                <w:highlight w:val="none"/>
              </w:rPr>
            </w:pPr>
            <w:r>
              <w:rPr>
                <w:rFonts w:hint="eastAsia"/>
                <w:sz w:val="21"/>
                <w:highlight w:val="none"/>
              </w:rPr>
              <w:t>传真</w:t>
            </w:r>
          </w:p>
        </w:tc>
        <w:tc>
          <w:tcPr>
            <w:tcW w:w="2887" w:type="dxa"/>
            <w:gridSpan w:val="2"/>
            <w:vAlign w:val="center"/>
          </w:tcPr>
          <w:p>
            <w:pPr>
              <w:wordWrap w:val="0"/>
              <w:topLinePunct/>
              <w:spacing w:line="480" w:lineRule="exact"/>
              <w:jc w:val="center"/>
              <w:rPr>
                <w:sz w:val="21"/>
                <w:highlight w:val="none"/>
              </w:rPr>
            </w:pPr>
          </w:p>
        </w:tc>
        <w:tc>
          <w:tcPr>
            <w:tcW w:w="1548" w:type="dxa"/>
            <w:vAlign w:val="center"/>
          </w:tcPr>
          <w:p>
            <w:pPr>
              <w:wordWrap w:val="0"/>
              <w:topLinePunct/>
              <w:spacing w:line="480" w:lineRule="exact"/>
              <w:jc w:val="center"/>
              <w:rPr>
                <w:sz w:val="21"/>
                <w:highlight w:val="none"/>
              </w:rPr>
            </w:pPr>
            <w:r>
              <w:rPr>
                <w:rFonts w:hint="eastAsia"/>
                <w:sz w:val="21"/>
                <w:highlight w:val="none"/>
              </w:rPr>
              <w:t>网址</w:t>
            </w:r>
          </w:p>
        </w:tc>
        <w:tc>
          <w:tcPr>
            <w:tcW w:w="2626" w:type="dxa"/>
            <w:gridSpan w:val="3"/>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法定代表人</w:t>
            </w:r>
          </w:p>
        </w:tc>
        <w:tc>
          <w:tcPr>
            <w:tcW w:w="939" w:type="dxa"/>
            <w:vAlign w:val="center"/>
          </w:tcPr>
          <w:p>
            <w:pPr>
              <w:wordWrap w:val="0"/>
              <w:topLinePunct/>
              <w:spacing w:line="480" w:lineRule="exact"/>
              <w:jc w:val="center"/>
              <w:rPr>
                <w:sz w:val="21"/>
                <w:highlight w:val="none"/>
              </w:rPr>
            </w:pPr>
            <w:r>
              <w:rPr>
                <w:rFonts w:hint="eastAsia"/>
                <w:sz w:val="21"/>
                <w:highlight w:val="none"/>
              </w:rPr>
              <w:t>姓名</w:t>
            </w:r>
          </w:p>
        </w:tc>
        <w:tc>
          <w:tcPr>
            <w:tcW w:w="1432" w:type="dxa"/>
            <w:vAlign w:val="center"/>
          </w:tcPr>
          <w:p>
            <w:pPr>
              <w:wordWrap w:val="0"/>
              <w:topLinePunct/>
              <w:spacing w:line="480" w:lineRule="exact"/>
              <w:jc w:val="center"/>
              <w:rPr>
                <w:sz w:val="21"/>
                <w:highlight w:val="none"/>
              </w:rPr>
            </w:pPr>
          </w:p>
        </w:tc>
        <w:tc>
          <w:tcPr>
            <w:tcW w:w="1455" w:type="dxa"/>
            <w:vAlign w:val="center"/>
          </w:tcPr>
          <w:p>
            <w:pPr>
              <w:wordWrap w:val="0"/>
              <w:topLinePunct/>
              <w:spacing w:line="480" w:lineRule="exact"/>
              <w:jc w:val="center"/>
              <w:rPr>
                <w:sz w:val="21"/>
                <w:highlight w:val="none"/>
              </w:rPr>
            </w:pPr>
            <w:r>
              <w:rPr>
                <w:rFonts w:hint="eastAsia"/>
                <w:sz w:val="21"/>
                <w:highlight w:val="none"/>
              </w:rPr>
              <w:t>技术职称</w:t>
            </w:r>
          </w:p>
        </w:tc>
        <w:tc>
          <w:tcPr>
            <w:tcW w:w="1548" w:type="dxa"/>
            <w:vAlign w:val="center"/>
          </w:tcPr>
          <w:p>
            <w:pPr>
              <w:wordWrap w:val="0"/>
              <w:topLinePunct/>
              <w:spacing w:line="480" w:lineRule="exact"/>
              <w:jc w:val="center"/>
              <w:rPr>
                <w:sz w:val="21"/>
                <w:highlight w:val="none"/>
              </w:rPr>
            </w:pPr>
          </w:p>
        </w:tc>
        <w:tc>
          <w:tcPr>
            <w:tcW w:w="1364" w:type="dxa"/>
            <w:gridSpan w:val="2"/>
            <w:vAlign w:val="center"/>
          </w:tcPr>
          <w:p>
            <w:pPr>
              <w:wordWrap w:val="0"/>
              <w:topLinePunct/>
              <w:spacing w:line="480" w:lineRule="exact"/>
              <w:jc w:val="center"/>
              <w:rPr>
                <w:sz w:val="21"/>
                <w:highlight w:val="none"/>
              </w:rPr>
            </w:pPr>
            <w:r>
              <w:rPr>
                <w:rFonts w:hint="eastAsia"/>
                <w:sz w:val="21"/>
                <w:highlight w:val="none"/>
              </w:rPr>
              <w:t>电话</w:t>
            </w:r>
          </w:p>
        </w:tc>
        <w:tc>
          <w:tcPr>
            <w:tcW w:w="1262" w:type="dxa"/>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技术负责人</w:t>
            </w:r>
          </w:p>
        </w:tc>
        <w:tc>
          <w:tcPr>
            <w:tcW w:w="939" w:type="dxa"/>
            <w:vAlign w:val="center"/>
          </w:tcPr>
          <w:p>
            <w:pPr>
              <w:wordWrap w:val="0"/>
              <w:topLinePunct/>
              <w:spacing w:line="480" w:lineRule="exact"/>
              <w:jc w:val="center"/>
              <w:rPr>
                <w:sz w:val="21"/>
                <w:highlight w:val="none"/>
              </w:rPr>
            </w:pPr>
            <w:r>
              <w:rPr>
                <w:rFonts w:hint="eastAsia"/>
                <w:sz w:val="21"/>
                <w:highlight w:val="none"/>
              </w:rPr>
              <w:t>姓名</w:t>
            </w:r>
          </w:p>
        </w:tc>
        <w:tc>
          <w:tcPr>
            <w:tcW w:w="1432" w:type="dxa"/>
            <w:vAlign w:val="center"/>
          </w:tcPr>
          <w:p>
            <w:pPr>
              <w:wordWrap w:val="0"/>
              <w:topLinePunct/>
              <w:spacing w:line="480" w:lineRule="exact"/>
              <w:jc w:val="center"/>
              <w:rPr>
                <w:sz w:val="21"/>
                <w:highlight w:val="none"/>
              </w:rPr>
            </w:pPr>
          </w:p>
        </w:tc>
        <w:tc>
          <w:tcPr>
            <w:tcW w:w="1455" w:type="dxa"/>
            <w:vAlign w:val="center"/>
          </w:tcPr>
          <w:p>
            <w:pPr>
              <w:wordWrap w:val="0"/>
              <w:topLinePunct/>
              <w:spacing w:line="480" w:lineRule="exact"/>
              <w:jc w:val="center"/>
              <w:rPr>
                <w:sz w:val="21"/>
                <w:highlight w:val="none"/>
              </w:rPr>
            </w:pPr>
            <w:r>
              <w:rPr>
                <w:rFonts w:hint="eastAsia"/>
                <w:sz w:val="21"/>
                <w:highlight w:val="none"/>
              </w:rPr>
              <w:t>技术职称</w:t>
            </w:r>
          </w:p>
        </w:tc>
        <w:tc>
          <w:tcPr>
            <w:tcW w:w="1548" w:type="dxa"/>
            <w:vAlign w:val="center"/>
          </w:tcPr>
          <w:p>
            <w:pPr>
              <w:wordWrap w:val="0"/>
              <w:topLinePunct/>
              <w:spacing w:line="480" w:lineRule="exact"/>
              <w:jc w:val="center"/>
              <w:rPr>
                <w:sz w:val="21"/>
                <w:highlight w:val="none"/>
              </w:rPr>
            </w:pPr>
          </w:p>
        </w:tc>
        <w:tc>
          <w:tcPr>
            <w:tcW w:w="1364" w:type="dxa"/>
            <w:gridSpan w:val="2"/>
            <w:vAlign w:val="center"/>
          </w:tcPr>
          <w:p>
            <w:pPr>
              <w:wordWrap w:val="0"/>
              <w:topLinePunct/>
              <w:spacing w:line="480" w:lineRule="exact"/>
              <w:jc w:val="center"/>
              <w:rPr>
                <w:sz w:val="21"/>
                <w:highlight w:val="none"/>
              </w:rPr>
            </w:pPr>
            <w:r>
              <w:rPr>
                <w:rFonts w:hint="eastAsia"/>
                <w:sz w:val="21"/>
                <w:highlight w:val="none"/>
              </w:rPr>
              <w:t>电话</w:t>
            </w:r>
          </w:p>
        </w:tc>
        <w:tc>
          <w:tcPr>
            <w:tcW w:w="1262" w:type="dxa"/>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成立时间</w:t>
            </w:r>
          </w:p>
        </w:tc>
        <w:tc>
          <w:tcPr>
            <w:tcW w:w="2371" w:type="dxa"/>
            <w:gridSpan w:val="2"/>
            <w:vAlign w:val="center"/>
          </w:tcPr>
          <w:p>
            <w:pPr>
              <w:wordWrap w:val="0"/>
              <w:topLinePunct/>
              <w:spacing w:line="480" w:lineRule="exact"/>
              <w:jc w:val="center"/>
              <w:rPr>
                <w:sz w:val="21"/>
                <w:highlight w:val="none"/>
              </w:rPr>
            </w:pPr>
          </w:p>
        </w:tc>
        <w:tc>
          <w:tcPr>
            <w:tcW w:w="5629" w:type="dxa"/>
            <w:gridSpan w:val="5"/>
            <w:vAlign w:val="center"/>
          </w:tcPr>
          <w:p>
            <w:pPr>
              <w:wordWrap w:val="0"/>
              <w:topLinePunct/>
              <w:spacing w:line="480" w:lineRule="exact"/>
              <w:jc w:val="center"/>
              <w:rPr>
                <w:sz w:val="21"/>
                <w:highlight w:val="none"/>
              </w:rPr>
            </w:pPr>
            <w:r>
              <w:rPr>
                <w:rFonts w:hint="eastAsia"/>
                <w:sz w:val="21"/>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企业资质等级</w:t>
            </w:r>
          </w:p>
        </w:tc>
        <w:tc>
          <w:tcPr>
            <w:tcW w:w="2371" w:type="dxa"/>
            <w:gridSpan w:val="2"/>
            <w:vAlign w:val="center"/>
          </w:tcPr>
          <w:p>
            <w:pPr>
              <w:wordWrap w:val="0"/>
              <w:topLinePunct/>
              <w:spacing w:line="480" w:lineRule="exact"/>
              <w:jc w:val="center"/>
              <w:rPr>
                <w:sz w:val="21"/>
                <w:highlight w:val="none"/>
              </w:rPr>
            </w:pPr>
          </w:p>
        </w:tc>
        <w:tc>
          <w:tcPr>
            <w:tcW w:w="1455" w:type="dxa"/>
            <w:vMerge w:val="restart"/>
            <w:vAlign w:val="center"/>
          </w:tcPr>
          <w:p>
            <w:pPr>
              <w:wordWrap w:val="0"/>
              <w:topLinePunct/>
              <w:spacing w:line="480" w:lineRule="exact"/>
              <w:jc w:val="center"/>
              <w:rPr>
                <w:sz w:val="21"/>
                <w:highlight w:val="none"/>
              </w:rPr>
            </w:pPr>
            <w:r>
              <w:rPr>
                <w:rFonts w:hint="eastAsia"/>
                <w:sz w:val="21"/>
                <w:highlight w:val="none"/>
              </w:rPr>
              <w:t>其中</w:t>
            </w: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项目经理</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营业执照号/统一社会信用代码</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高级职称人员</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注册资金</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中级职称人员</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wordWrap w:val="0"/>
              <w:topLinePunct/>
              <w:spacing w:line="480" w:lineRule="exact"/>
              <w:jc w:val="center"/>
              <w:rPr>
                <w:sz w:val="21"/>
                <w:highlight w:val="none"/>
              </w:rPr>
            </w:pPr>
            <w:r>
              <w:rPr>
                <w:rFonts w:hint="eastAsia"/>
                <w:sz w:val="21"/>
                <w:highlight w:val="none"/>
              </w:rPr>
              <w:t>开户银行</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初级职称人员</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wordWrap w:val="0"/>
              <w:topLinePunct/>
              <w:spacing w:line="480" w:lineRule="exact"/>
              <w:jc w:val="center"/>
              <w:rPr>
                <w:sz w:val="21"/>
                <w:highlight w:val="none"/>
              </w:rPr>
            </w:pPr>
            <w:r>
              <w:rPr>
                <w:rFonts w:hint="eastAsia"/>
                <w:sz w:val="21"/>
                <w:highlight w:val="none"/>
              </w:rPr>
              <w:t>账号</w:t>
            </w:r>
          </w:p>
        </w:tc>
        <w:tc>
          <w:tcPr>
            <w:tcW w:w="2371" w:type="dxa"/>
            <w:gridSpan w:val="2"/>
            <w:vAlign w:val="center"/>
          </w:tcPr>
          <w:p>
            <w:pPr>
              <w:wordWrap w:val="0"/>
              <w:topLinePunct/>
              <w:spacing w:line="480" w:lineRule="exact"/>
              <w:jc w:val="center"/>
              <w:rPr>
                <w:sz w:val="21"/>
                <w:highlight w:val="none"/>
              </w:rPr>
            </w:pPr>
          </w:p>
        </w:tc>
        <w:tc>
          <w:tcPr>
            <w:tcW w:w="1455" w:type="dxa"/>
            <w:vMerge w:val="continue"/>
            <w:vAlign w:val="center"/>
          </w:tcPr>
          <w:p>
            <w:pPr>
              <w:wordWrap w:val="0"/>
              <w:topLinePunct/>
              <w:spacing w:line="480" w:lineRule="exact"/>
              <w:jc w:val="center"/>
              <w:rPr>
                <w:sz w:val="21"/>
                <w:highlight w:val="none"/>
              </w:rPr>
            </w:pPr>
          </w:p>
        </w:tc>
        <w:tc>
          <w:tcPr>
            <w:tcW w:w="1734" w:type="dxa"/>
            <w:gridSpan w:val="2"/>
            <w:vAlign w:val="center"/>
          </w:tcPr>
          <w:p>
            <w:pPr>
              <w:wordWrap w:val="0"/>
              <w:topLinePunct/>
              <w:spacing w:line="480" w:lineRule="exact"/>
              <w:jc w:val="center"/>
              <w:rPr>
                <w:sz w:val="21"/>
                <w:highlight w:val="none"/>
              </w:rPr>
            </w:pPr>
            <w:r>
              <w:rPr>
                <w:rFonts w:hint="eastAsia"/>
                <w:sz w:val="21"/>
                <w:highlight w:val="none"/>
              </w:rPr>
              <w:t>技工</w:t>
            </w:r>
          </w:p>
        </w:tc>
        <w:tc>
          <w:tcPr>
            <w:tcW w:w="2440" w:type="dxa"/>
            <w:gridSpan w:val="2"/>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wordWrap w:val="0"/>
              <w:topLinePunct/>
              <w:spacing w:line="480" w:lineRule="exact"/>
              <w:jc w:val="center"/>
              <w:rPr>
                <w:sz w:val="21"/>
                <w:highlight w:val="none"/>
              </w:rPr>
            </w:pPr>
            <w:r>
              <w:rPr>
                <w:rFonts w:hint="eastAsia"/>
                <w:sz w:val="21"/>
                <w:highlight w:val="none"/>
              </w:rPr>
              <w:t>经营范围</w:t>
            </w:r>
          </w:p>
        </w:tc>
        <w:tc>
          <w:tcPr>
            <w:tcW w:w="8000" w:type="dxa"/>
            <w:gridSpan w:val="7"/>
            <w:vAlign w:val="center"/>
          </w:tcPr>
          <w:p>
            <w:pPr>
              <w:wordWrap w:val="0"/>
              <w:topLinePunct/>
              <w:spacing w:line="48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wordWrap w:val="0"/>
              <w:topLinePunct/>
              <w:spacing w:line="480" w:lineRule="exact"/>
              <w:jc w:val="center"/>
              <w:rPr>
                <w:sz w:val="21"/>
                <w:highlight w:val="none"/>
              </w:rPr>
            </w:pPr>
            <w:r>
              <w:rPr>
                <w:rFonts w:hint="eastAsia"/>
                <w:sz w:val="21"/>
                <w:highlight w:val="none"/>
              </w:rPr>
              <w:t>备注</w:t>
            </w:r>
          </w:p>
        </w:tc>
        <w:tc>
          <w:tcPr>
            <w:tcW w:w="8000" w:type="dxa"/>
            <w:gridSpan w:val="7"/>
          </w:tcPr>
          <w:p>
            <w:pPr>
              <w:wordWrap w:val="0"/>
              <w:topLinePunct/>
              <w:spacing w:line="480" w:lineRule="exact"/>
              <w:jc w:val="center"/>
              <w:rPr>
                <w:sz w:val="21"/>
                <w:highlight w:val="none"/>
              </w:rPr>
            </w:pPr>
          </w:p>
        </w:tc>
      </w:tr>
    </w:tbl>
    <w:p>
      <w:pPr>
        <w:wordWrap w:val="0"/>
        <w:topLinePunct/>
        <w:ind w:firstLine="482" w:firstLineChars="200"/>
        <w:rPr>
          <w:b/>
          <w:snapToGrid w:val="0"/>
          <w:highlight w:val="none"/>
        </w:rPr>
      </w:pPr>
      <w:r>
        <w:rPr>
          <w:rFonts w:hint="eastAsia"/>
          <w:b/>
          <w:snapToGrid w:val="0"/>
          <w:highlight w:val="none"/>
        </w:rPr>
        <w:t>注：投标人根据自身实际情况填写，对不涉及的内容可填写“/”，不影响投标资质及效力。</w:t>
      </w: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r>
        <w:rPr>
          <w:rFonts w:hint="eastAsia"/>
          <w:highlight w:val="none"/>
        </w:rPr>
        <w:t xml:space="preserve">       </w:t>
      </w:r>
    </w:p>
    <w:p>
      <w:pPr>
        <w:wordWrap w:val="0"/>
        <w:topLinePunct/>
        <w:ind w:firstLine="480" w:firstLineChars="200"/>
        <w:rPr>
          <w:highlight w:val="none"/>
        </w:rPr>
      </w:pPr>
      <w:r>
        <w:rPr>
          <w:rFonts w:hint="eastAsia"/>
          <w:highlight w:val="none"/>
        </w:rPr>
        <w:br w:type="page"/>
      </w:r>
    </w:p>
    <w:p>
      <w:pPr>
        <w:pageBreakBefore/>
        <w:numPr>
          <w:ilvl w:val="0"/>
          <w:numId w:val="21"/>
        </w:numPr>
        <w:wordWrap w:val="0"/>
        <w:topLinePunct/>
        <w:spacing w:before="120" w:beforeLines="50" w:after="120" w:afterLines="50"/>
        <w:jc w:val="center"/>
        <w:outlineLvl w:val="2"/>
        <w:rPr>
          <w:b/>
          <w:snapToGrid w:val="0"/>
          <w:sz w:val="28"/>
          <w:highlight w:val="none"/>
        </w:rPr>
      </w:pPr>
      <w:bookmarkStart w:id="876" w:name="_Toc1650"/>
      <w:bookmarkStart w:id="877" w:name="_Toc30133"/>
      <w:bookmarkStart w:id="878" w:name="_Toc5308"/>
      <w:bookmarkStart w:id="879" w:name="_Toc27224"/>
      <w:bookmarkStart w:id="880" w:name="_Toc25967"/>
      <w:bookmarkStart w:id="881" w:name="_Toc19766"/>
      <w:r>
        <w:rPr>
          <w:rFonts w:hint="eastAsia"/>
          <w:b/>
          <w:snapToGrid w:val="0"/>
          <w:sz w:val="28"/>
          <w:highlight w:val="none"/>
        </w:rPr>
        <w:t>开标一览表</w:t>
      </w:r>
      <w:bookmarkEnd w:id="876"/>
      <w:bookmarkEnd w:id="877"/>
      <w:bookmarkEnd w:id="878"/>
      <w:bookmarkEnd w:id="879"/>
      <w:bookmarkEnd w:id="880"/>
      <w:bookmarkEnd w:id="881"/>
    </w:p>
    <w:p>
      <w:pPr>
        <w:wordWrap w:val="0"/>
        <w:topLinePunct/>
        <w:rPr>
          <w:snapToGrid w:val="0"/>
          <w:highlight w:val="none"/>
          <w:u w:val="single"/>
        </w:rPr>
      </w:pPr>
      <w:r>
        <w:rPr>
          <w:rFonts w:hint="eastAsia"/>
          <w:snapToGrid w:val="0"/>
          <w:highlight w:val="none"/>
        </w:rPr>
        <w:t>项目名称：</w:t>
      </w:r>
      <w:r>
        <w:rPr>
          <w:rFonts w:hint="eastAsia"/>
          <w:snapToGrid w:val="0"/>
          <w:highlight w:val="none"/>
          <w:u w:val="single"/>
        </w:rPr>
        <w:t xml:space="preserve">                         </w:t>
      </w:r>
    </w:p>
    <w:p>
      <w:pPr>
        <w:wordWrap w:val="0"/>
        <w:topLinePunct/>
        <w:rPr>
          <w:snapToGrid w:val="0"/>
          <w:highlight w:val="none"/>
          <w:u w:val="single"/>
        </w:rPr>
      </w:pPr>
      <w:r>
        <w:rPr>
          <w:rFonts w:hint="eastAsia"/>
          <w:snapToGrid w:val="0"/>
          <w:highlight w:val="none"/>
        </w:rPr>
        <w:t>项目编号：</w:t>
      </w:r>
      <w:r>
        <w:rPr>
          <w:rFonts w:hint="eastAsia"/>
          <w:snapToGrid w:val="0"/>
          <w:highlight w:val="none"/>
          <w:u w:val="single"/>
        </w:rPr>
        <w:t xml:space="preserve">                         </w:t>
      </w:r>
    </w:p>
    <w:tbl>
      <w:tblPr>
        <w:tblStyle w:val="22"/>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2489"/>
        <w:gridCol w:w="1073"/>
        <w:gridCol w:w="1881"/>
        <w:gridCol w:w="1434"/>
        <w:gridCol w:w="1719"/>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253"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标的名称</w:t>
            </w:r>
          </w:p>
        </w:tc>
        <w:tc>
          <w:tcPr>
            <w:tcW w:w="540"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947"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规格型号</w:t>
            </w:r>
          </w:p>
        </w:tc>
        <w:tc>
          <w:tcPr>
            <w:tcW w:w="722"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865"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投标报价(元)</w:t>
            </w:r>
          </w:p>
        </w:tc>
        <w:tc>
          <w:tcPr>
            <w:tcW w:w="431" w:type="pct"/>
            <w:vAlign w:val="center"/>
          </w:tcPr>
          <w:p>
            <w:pPr>
              <w:pStyle w:val="52"/>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正线联锁控制柜</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正线继电器组合架</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屏蔽门系统及就地控制盘</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车厢系统</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轨道平台系统</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正线操作系统控制台</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城市轨道交通信号工技术智能培训考核软件</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253"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综合布线</w:t>
            </w:r>
          </w:p>
        </w:tc>
        <w:tc>
          <w:tcPr>
            <w:tcW w:w="540"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947"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722" w:type="pct"/>
            <w:vAlign w:val="center"/>
          </w:tcPr>
          <w:p>
            <w:pPr>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c>
          <w:tcPr>
            <w:tcW w:w="865"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c>
          <w:tcPr>
            <w:tcW w:w="431" w:type="pct"/>
            <w:vAlign w:val="center"/>
          </w:tcPr>
          <w:p>
            <w:pPr>
              <w:pStyle w:val="29"/>
              <w:keepNext w:val="0"/>
              <w:keepLines w:val="0"/>
              <w:pageBreakBefore w:val="0"/>
              <w:widowControl w:val="0"/>
              <w:kinsoku/>
              <w:wordWrap w:val="0"/>
              <w:overflowPunct/>
              <w:autoSpaceDE/>
              <w:autoSpaceDN/>
              <w:bidi w:val="0"/>
              <w:adjustRightInd w:val="0"/>
              <w:snapToGrid w:val="0"/>
              <w:spacing w:line="32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投标总价(元)：</w:t>
            </w:r>
            <w:r>
              <w:rPr>
                <w:rFonts w:hint="eastAsia" w:ascii="宋体" w:hAnsi="宋体" w:eastAsia="宋体" w:cs="宋体"/>
                <w:b/>
                <w:bCs/>
                <w:sz w:val="21"/>
                <w:szCs w:val="21"/>
                <w:highlight w:val="none"/>
                <w:u w:val="single"/>
              </w:rPr>
              <w:t xml:space="preserve">            </w:t>
            </w:r>
            <w:r>
              <w:rPr>
                <w:rFonts w:hint="eastAsia" w:ascii="宋体" w:hAnsi="宋体" w:eastAsia="宋体" w:cs="宋体"/>
                <w:b/>
                <w:bCs/>
                <w:sz w:val="21"/>
                <w:szCs w:val="21"/>
                <w:highlight w:val="none"/>
              </w:rPr>
              <w:t>(大写人民币：</w:t>
            </w:r>
            <w:r>
              <w:rPr>
                <w:rFonts w:hint="eastAsia" w:ascii="宋体" w:hAnsi="宋体" w:eastAsia="宋体" w:cs="宋体"/>
                <w:b/>
                <w:bCs/>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履约时间：</w:t>
            </w:r>
          </w:p>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1.供货时间：合同签订之日起30日历天内(含法定节假日、试运行)，完成设备送货、安装、调试、培训、试运行工作。</w:t>
            </w:r>
          </w:p>
          <w:p>
            <w:pPr>
              <w:pStyle w:val="29"/>
              <w:keepNext w:val="0"/>
              <w:keepLines w:val="0"/>
              <w:pageBreakBefore w:val="0"/>
              <w:widowControl w:val="0"/>
              <w:kinsoku/>
              <w:wordWrap w:val="0"/>
              <w:overflowPunct/>
              <w:autoSpaceDE/>
              <w:autoSpaceDN/>
              <w:bidi w:val="0"/>
              <w:adjustRightInd w:val="0"/>
              <w:snapToGrid w:val="0"/>
              <w:spacing w:line="32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2.售后服务时间：投标人需提供3年的售后服务，售后服务期的起始日期为采购人现场设备验收合格之日起开始计算。</w:t>
            </w:r>
          </w:p>
        </w:tc>
      </w:tr>
    </w:tbl>
    <w:p>
      <w:pPr>
        <w:wordWrap w:val="0"/>
        <w:topLinePunct/>
        <w:ind w:firstLine="482" w:firstLineChars="200"/>
        <w:rPr>
          <w:bCs/>
          <w:snapToGrid w:val="0"/>
          <w:highlight w:val="none"/>
        </w:rPr>
      </w:pPr>
      <w:r>
        <w:rPr>
          <w:rFonts w:hint="eastAsia"/>
          <w:b/>
          <w:snapToGrid w:val="0"/>
          <w:highlight w:val="none"/>
        </w:rPr>
        <w:t>注：</w:t>
      </w:r>
      <w:r>
        <w:rPr>
          <w:rFonts w:hint="eastAsia"/>
          <w:bCs/>
          <w:snapToGrid w:val="0"/>
          <w:highlight w:val="none"/>
        </w:rPr>
        <w:t>①报价应是投标人响应招标项目要求的全部采购内容的价格体现，包括但不限于包括但不限于设备的供货、包装、运输、安装、调试、培训、利润、售后服务等与完成本项目有关的所有费用。</w:t>
      </w:r>
    </w:p>
    <w:p>
      <w:pPr>
        <w:wordWrap w:val="0"/>
        <w:topLinePunct/>
        <w:ind w:firstLine="480" w:firstLineChars="200"/>
        <w:rPr>
          <w:bCs/>
          <w:snapToGrid w:val="0"/>
          <w:highlight w:val="none"/>
        </w:rPr>
      </w:pPr>
      <w:r>
        <w:rPr>
          <w:rFonts w:hint="eastAsia"/>
          <w:bCs/>
          <w:snapToGrid w:val="0"/>
          <w:highlight w:val="none"/>
        </w:rPr>
        <w:t>②“开标一览表”为多页的，每页均需加盖投标人印章，否则作无效投标处理。</w:t>
      </w:r>
    </w:p>
    <w:p>
      <w:pPr>
        <w:wordWrap w:val="0"/>
        <w:topLinePunct/>
        <w:ind w:firstLine="482" w:firstLineChars="200"/>
        <w:rPr>
          <w:b/>
          <w:snapToGrid w:val="0"/>
          <w:highlight w:val="none"/>
        </w:rPr>
      </w:pPr>
      <w:r>
        <w:rPr>
          <w:rFonts w:hint="eastAsia"/>
          <w:b/>
          <w:snapToGrid w:val="0"/>
          <w:highlight w:val="none"/>
        </w:rPr>
        <w:t>③“开标一览表”除了单独提交外，其他投标文件(正副本)中也应当提供，如有遗漏，将视为无效投标。</w:t>
      </w:r>
    </w:p>
    <w:p>
      <w:pPr>
        <w:wordWrap w:val="0"/>
        <w:topLinePunct/>
        <w:rPr>
          <w:snapToGrid w:val="0"/>
          <w:highlight w:val="none"/>
        </w:rPr>
      </w:pPr>
    </w:p>
    <w:p>
      <w:pPr>
        <w:wordWrap w:val="0"/>
        <w:topLinePunct/>
        <w:ind w:firstLine="480" w:firstLineChars="200"/>
        <w:rPr>
          <w:snapToGrid w:val="0"/>
          <w:highlight w:val="none"/>
        </w:rPr>
      </w:pPr>
      <w:r>
        <w:rPr>
          <w:rFonts w:hint="eastAsia"/>
          <w:snapToGrid w:val="0"/>
          <w:highlight w:val="none"/>
        </w:rPr>
        <w:t>投标人名称：</w:t>
      </w:r>
      <w:r>
        <w:rPr>
          <w:rFonts w:hint="eastAsia" w:asciiTheme="minorEastAsia" w:hAnsiTheme="minorEastAsia" w:eastAsiaTheme="minorEastAsia" w:cstheme="minorEastAsia"/>
          <w:bCs/>
          <w:snapToGrid w:val="0"/>
          <w:highlight w:val="none"/>
          <w:u w:val="single"/>
        </w:rPr>
        <w:t xml:space="preserve">                 </w:t>
      </w:r>
    </w:p>
    <w:p>
      <w:pPr>
        <w:wordWrap w:val="0"/>
        <w:topLinePunct/>
        <w:ind w:firstLine="480" w:firstLineChars="200"/>
        <w:rPr>
          <w:snapToGrid w:val="0"/>
          <w:highlight w:val="none"/>
        </w:rPr>
      </w:pPr>
      <w:r>
        <w:rPr>
          <w:rFonts w:hint="eastAsia"/>
          <w:snapToGrid w:val="0"/>
          <w:highlight w:val="none"/>
        </w:rPr>
        <w:t>投标日期：</w:t>
      </w:r>
      <w:bookmarkStart w:id="882" w:name="_Toc7728"/>
      <w:r>
        <w:rPr>
          <w:rFonts w:hint="eastAsia" w:asciiTheme="minorEastAsia" w:hAnsiTheme="minorEastAsia" w:eastAsiaTheme="minorEastAsia" w:cstheme="minorEastAsia"/>
          <w:bCs/>
          <w:snapToGrid w:val="0"/>
          <w:highlight w:val="none"/>
          <w:u w:val="single"/>
        </w:rPr>
        <w:t xml:space="preserve">                 </w:t>
      </w:r>
      <w:r>
        <w:rPr>
          <w:rFonts w:hint="eastAsia"/>
          <w:snapToGrid w:val="0"/>
          <w:highlight w:val="none"/>
        </w:rPr>
        <w:br w:type="page"/>
      </w:r>
    </w:p>
    <w:bookmarkEnd w:id="882"/>
    <w:p>
      <w:pPr>
        <w:pageBreakBefore/>
        <w:numPr>
          <w:ilvl w:val="0"/>
          <w:numId w:val="21"/>
        </w:numPr>
        <w:wordWrap w:val="0"/>
        <w:topLinePunct/>
        <w:spacing w:before="120" w:beforeLines="50" w:after="120" w:afterLines="50"/>
        <w:jc w:val="center"/>
        <w:outlineLvl w:val="2"/>
        <w:rPr>
          <w:b/>
          <w:snapToGrid w:val="0"/>
          <w:sz w:val="28"/>
          <w:highlight w:val="none"/>
        </w:rPr>
        <w:sectPr>
          <w:headerReference r:id="rId15" w:type="first"/>
          <w:footerReference r:id="rId17" w:type="first"/>
          <w:headerReference r:id="rId14" w:type="default"/>
          <w:footerReference r:id="rId16" w:type="default"/>
          <w:type w:val="continuous"/>
          <w:pgSz w:w="11906" w:h="16838"/>
          <w:pgMar w:top="1440" w:right="1083" w:bottom="1440" w:left="1083" w:header="851" w:footer="992" w:gutter="0"/>
          <w:cols w:space="0" w:num="1"/>
          <w:titlePg/>
          <w:docGrid w:linePitch="312" w:charSpace="0"/>
        </w:sectPr>
      </w:pPr>
      <w:bookmarkStart w:id="883" w:name="_Toc319440166"/>
      <w:bookmarkStart w:id="884" w:name="_Toc307501130"/>
      <w:bookmarkStart w:id="885" w:name="_Toc7835"/>
      <w:bookmarkStart w:id="886" w:name="_Toc27874"/>
      <w:bookmarkStart w:id="887" w:name="_Toc11461"/>
      <w:bookmarkStart w:id="888" w:name="_Toc217446087"/>
      <w:bookmarkStart w:id="889" w:name="_Toc307564875"/>
      <w:bookmarkStart w:id="890" w:name="_Toc21006"/>
      <w:bookmarkStart w:id="891" w:name="_Toc25577"/>
      <w:bookmarkStart w:id="892" w:name="_Toc327196310"/>
      <w:bookmarkStart w:id="893" w:name="_Toc26124"/>
      <w:bookmarkStart w:id="894" w:name="_Toc327196312"/>
      <w:bookmarkStart w:id="895" w:name="_Toc319440168"/>
      <w:bookmarkStart w:id="896" w:name="_Toc24507"/>
    </w:p>
    <w:p>
      <w:pPr>
        <w:pStyle w:val="51"/>
        <w:numPr>
          <w:ilvl w:val="0"/>
          <w:numId w:val="21"/>
        </w:numPr>
        <w:spacing w:before="120" w:after="120"/>
        <w:ind w:firstLine="0"/>
        <w:rPr>
          <w:highlight w:val="none"/>
        </w:rPr>
      </w:pPr>
      <w:bookmarkStart w:id="897" w:name="_Toc19101"/>
      <w:bookmarkStart w:id="898" w:name="_Toc14419"/>
      <w:bookmarkStart w:id="899" w:name="_Toc19314"/>
      <w:bookmarkStart w:id="900" w:name="_Toc23742"/>
      <w:r>
        <w:rPr>
          <w:rFonts w:hint="eastAsia"/>
          <w:highlight w:val="none"/>
        </w:rPr>
        <w:t>分项报价明细表</w:t>
      </w:r>
      <w:bookmarkEnd w:id="897"/>
      <w:bookmarkEnd w:id="898"/>
      <w:bookmarkEnd w:id="899"/>
      <w:bookmarkEnd w:id="900"/>
    </w:p>
    <w:p>
      <w:pPr>
        <w:pStyle w:val="29"/>
        <w:rPr>
          <w:highlight w:val="none"/>
          <w:u w:val="single"/>
        </w:rPr>
      </w:pPr>
      <w:r>
        <w:rPr>
          <w:rFonts w:hint="eastAsia"/>
          <w:highlight w:val="none"/>
        </w:rPr>
        <w:t>项目名称：</w:t>
      </w:r>
      <w:r>
        <w:rPr>
          <w:rFonts w:hint="eastAsia"/>
          <w:highlight w:val="none"/>
          <w:u w:val="single"/>
        </w:rPr>
        <w:t xml:space="preserve">                            </w:t>
      </w:r>
    </w:p>
    <w:p>
      <w:pPr>
        <w:pStyle w:val="29"/>
        <w:rPr>
          <w:highlight w:val="none"/>
          <w:u w:val="single"/>
        </w:rPr>
      </w:pPr>
      <w:r>
        <w:rPr>
          <w:rFonts w:hint="eastAsia"/>
          <w:highlight w:val="none"/>
        </w:rPr>
        <w:t>项目编号：</w:t>
      </w:r>
      <w:r>
        <w:rPr>
          <w:rFonts w:hint="eastAsia"/>
          <w:highlight w:val="none"/>
          <w:u w:val="single"/>
        </w:rPr>
        <w:t xml:space="preserve">                            </w:t>
      </w:r>
    </w:p>
    <w:tbl>
      <w:tblPr>
        <w:tblStyle w:val="22"/>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59"/>
        <w:gridCol w:w="1014"/>
        <w:gridCol w:w="1014"/>
        <w:gridCol w:w="1014"/>
        <w:gridCol w:w="1014"/>
        <w:gridCol w:w="1014"/>
        <w:gridCol w:w="1014"/>
        <w:gridCol w:w="101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681" w:type="dxa"/>
            <w:vAlign w:val="center"/>
          </w:tcPr>
          <w:p>
            <w:pPr>
              <w:pStyle w:val="52"/>
              <w:rPr>
                <w:b/>
                <w:bCs/>
                <w:highlight w:val="none"/>
              </w:rPr>
            </w:pPr>
            <w:bookmarkStart w:id="901" w:name="_Toc24396"/>
            <w:r>
              <w:rPr>
                <w:rFonts w:hint="eastAsia"/>
                <w:b/>
                <w:bCs/>
                <w:highlight w:val="none"/>
              </w:rPr>
              <w:t>序号</w:t>
            </w:r>
            <w:bookmarkEnd w:id="901"/>
          </w:p>
        </w:tc>
        <w:tc>
          <w:tcPr>
            <w:tcW w:w="1159" w:type="dxa"/>
            <w:vAlign w:val="center"/>
          </w:tcPr>
          <w:p>
            <w:pPr>
              <w:pStyle w:val="52"/>
              <w:rPr>
                <w:b/>
                <w:bCs/>
                <w:highlight w:val="none"/>
              </w:rPr>
            </w:pPr>
            <w:bookmarkStart w:id="902" w:name="_Toc10307"/>
            <w:r>
              <w:rPr>
                <w:rFonts w:hint="eastAsia"/>
                <w:b/>
                <w:bCs/>
                <w:highlight w:val="none"/>
              </w:rPr>
              <w:t>产品名称</w:t>
            </w:r>
            <w:bookmarkEnd w:id="902"/>
          </w:p>
        </w:tc>
        <w:tc>
          <w:tcPr>
            <w:tcW w:w="1014" w:type="dxa"/>
            <w:vAlign w:val="center"/>
          </w:tcPr>
          <w:p>
            <w:pPr>
              <w:pStyle w:val="52"/>
              <w:rPr>
                <w:b/>
                <w:bCs/>
                <w:highlight w:val="none"/>
              </w:rPr>
            </w:pPr>
            <w:r>
              <w:rPr>
                <w:rFonts w:hint="eastAsia"/>
                <w:b/>
                <w:bCs/>
                <w:highlight w:val="none"/>
              </w:rPr>
              <w:t>品牌</w:t>
            </w:r>
          </w:p>
        </w:tc>
        <w:tc>
          <w:tcPr>
            <w:tcW w:w="1014" w:type="dxa"/>
            <w:vAlign w:val="center"/>
          </w:tcPr>
          <w:p>
            <w:pPr>
              <w:pStyle w:val="52"/>
              <w:rPr>
                <w:b/>
                <w:bCs/>
                <w:highlight w:val="none"/>
              </w:rPr>
            </w:pPr>
            <w:bookmarkStart w:id="903" w:name="_Toc3010"/>
            <w:r>
              <w:rPr>
                <w:rFonts w:hint="eastAsia"/>
                <w:b/>
                <w:bCs/>
                <w:highlight w:val="none"/>
              </w:rPr>
              <w:t>规格</w:t>
            </w:r>
            <w:bookmarkEnd w:id="903"/>
          </w:p>
        </w:tc>
        <w:tc>
          <w:tcPr>
            <w:tcW w:w="1014" w:type="dxa"/>
            <w:vAlign w:val="center"/>
          </w:tcPr>
          <w:p>
            <w:pPr>
              <w:pStyle w:val="52"/>
              <w:rPr>
                <w:b/>
                <w:bCs/>
                <w:highlight w:val="none"/>
              </w:rPr>
            </w:pPr>
            <w:r>
              <w:rPr>
                <w:rFonts w:hint="eastAsia"/>
                <w:b/>
                <w:bCs/>
                <w:highlight w:val="none"/>
              </w:rPr>
              <w:t>型号</w:t>
            </w:r>
          </w:p>
        </w:tc>
        <w:tc>
          <w:tcPr>
            <w:tcW w:w="1014" w:type="dxa"/>
            <w:vAlign w:val="center"/>
          </w:tcPr>
          <w:p>
            <w:pPr>
              <w:pStyle w:val="52"/>
              <w:rPr>
                <w:b/>
                <w:bCs/>
                <w:highlight w:val="none"/>
              </w:rPr>
            </w:pPr>
            <w:r>
              <w:rPr>
                <w:rFonts w:hint="eastAsia"/>
                <w:b/>
                <w:bCs/>
                <w:highlight w:val="none"/>
              </w:rPr>
              <w:t>产地</w:t>
            </w:r>
          </w:p>
        </w:tc>
        <w:tc>
          <w:tcPr>
            <w:tcW w:w="1014" w:type="dxa"/>
            <w:vAlign w:val="center"/>
          </w:tcPr>
          <w:p>
            <w:pPr>
              <w:pStyle w:val="52"/>
              <w:rPr>
                <w:b/>
                <w:bCs/>
                <w:highlight w:val="none"/>
              </w:rPr>
            </w:pPr>
            <w:bookmarkStart w:id="904" w:name="_Toc2282"/>
            <w:r>
              <w:rPr>
                <w:rFonts w:hint="eastAsia"/>
                <w:b/>
                <w:bCs/>
                <w:highlight w:val="none"/>
              </w:rPr>
              <w:t>单价</w:t>
            </w:r>
            <w:bookmarkEnd w:id="904"/>
            <w:r>
              <w:rPr>
                <w:rFonts w:hint="eastAsia"/>
                <w:b/>
                <w:bCs/>
                <w:highlight w:val="none"/>
              </w:rPr>
              <w:t>(元)</w:t>
            </w:r>
          </w:p>
        </w:tc>
        <w:tc>
          <w:tcPr>
            <w:tcW w:w="1014" w:type="dxa"/>
            <w:vAlign w:val="center"/>
          </w:tcPr>
          <w:p>
            <w:pPr>
              <w:pStyle w:val="52"/>
              <w:rPr>
                <w:b/>
                <w:bCs/>
                <w:highlight w:val="none"/>
              </w:rPr>
            </w:pPr>
            <w:bookmarkStart w:id="905" w:name="_Toc7156"/>
            <w:r>
              <w:rPr>
                <w:rFonts w:hint="eastAsia"/>
                <w:b/>
                <w:bCs/>
                <w:highlight w:val="none"/>
              </w:rPr>
              <w:t>数量</w:t>
            </w:r>
            <w:bookmarkEnd w:id="905"/>
          </w:p>
        </w:tc>
        <w:tc>
          <w:tcPr>
            <w:tcW w:w="1014" w:type="dxa"/>
            <w:vAlign w:val="center"/>
          </w:tcPr>
          <w:p>
            <w:pPr>
              <w:pStyle w:val="52"/>
              <w:rPr>
                <w:b/>
                <w:bCs/>
                <w:highlight w:val="none"/>
              </w:rPr>
            </w:pPr>
            <w:r>
              <w:rPr>
                <w:rFonts w:hint="eastAsia"/>
                <w:b/>
                <w:bCs/>
                <w:highlight w:val="none"/>
              </w:rPr>
              <w:t>单位</w:t>
            </w:r>
          </w:p>
        </w:tc>
        <w:tc>
          <w:tcPr>
            <w:tcW w:w="1018" w:type="dxa"/>
            <w:vAlign w:val="center"/>
          </w:tcPr>
          <w:p>
            <w:pPr>
              <w:pStyle w:val="52"/>
              <w:rPr>
                <w:b/>
                <w:bCs/>
                <w:highlight w:val="none"/>
              </w:rPr>
            </w:pPr>
            <w:r>
              <w:rPr>
                <w:rFonts w:hint="eastAsia"/>
                <w:b/>
                <w:bCs/>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52"/>
              <w:rPr>
                <w:b/>
                <w:bCs/>
                <w:highlight w:val="none"/>
              </w:rPr>
            </w:pPr>
          </w:p>
        </w:tc>
        <w:tc>
          <w:tcPr>
            <w:tcW w:w="1159"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4" w:type="dxa"/>
            <w:vAlign w:val="center"/>
          </w:tcPr>
          <w:p>
            <w:pPr>
              <w:pStyle w:val="52"/>
              <w:rPr>
                <w:b/>
                <w:bCs/>
                <w:highlight w:val="none"/>
              </w:rPr>
            </w:pPr>
          </w:p>
        </w:tc>
        <w:tc>
          <w:tcPr>
            <w:tcW w:w="1018" w:type="dxa"/>
            <w:vAlign w:val="center"/>
          </w:tcPr>
          <w:p>
            <w:pPr>
              <w:pStyle w:val="52"/>
              <w:rPr>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tcBorders>
              <w:left w:val="single" w:color="auto" w:sz="4" w:space="0"/>
            </w:tcBorders>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29"/>
              <w:rPr>
                <w:highlight w:val="none"/>
              </w:rPr>
            </w:pPr>
          </w:p>
        </w:tc>
        <w:tc>
          <w:tcPr>
            <w:tcW w:w="1159"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4" w:type="dxa"/>
            <w:vAlign w:val="center"/>
          </w:tcPr>
          <w:p>
            <w:pPr>
              <w:pStyle w:val="29"/>
              <w:rPr>
                <w:highlight w:val="none"/>
              </w:rPr>
            </w:pPr>
          </w:p>
        </w:tc>
        <w:tc>
          <w:tcPr>
            <w:tcW w:w="1018" w:type="dxa"/>
            <w:vAlign w:val="center"/>
          </w:tcPr>
          <w:p>
            <w:pPr>
              <w:pStyle w:val="2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10"/>
            <w:vAlign w:val="center"/>
          </w:tcPr>
          <w:p>
            <w:pPr>
              <w:pStyle w:val="49"/>
              <w:rPr>
                <w:highlight w:val="none"/>
              </w:rPr>
            </w:pPr>
            <w:r>
              <w:rPr>
                <w:rFonts w:hint="eastAsia"/>
                <w:highlight w:val="none"/>
              </w:rPr>
              <w:t>分项报价合计金额：</w:t>
            </w:r>
            <w:r>
              <w:rPr>
                <w:rFonts w:hint="eastAsia"/>
                <w:highlight w:val="none"/>
                <w:u w:val="single"/>
              </w:rPr>
              <w:t xml:space="preserve">                   </w:t>
            </w:r>
            <w:r>
              <w:rPr>
                <w:rFonts w:hint="eastAsia"/>
                <w:highlight w:val="none"/>
              </w:rPr>
              <w:t>(大写：</w:t>
            </w:r>
            <w:r>
              <w:rPr>
                <w:rFonts w:hint="eastAsia"/>
                <w:highlight w:val="none"/>
                <w:u w:val="single"/>
              </w:rPr>
              <w:t xml:space="preserve">                   </w:t>
            </w:r>
            <w:r>
              <w:rPr>
                <w:rFonts w:hint="eastAsia"/>
                <w:highlight w:val="none"/>
              </w:rPr>
              <w:t>)</w:t>
            </w:r>
          </w:p>
        </w:tc>
      </w:tr>
    </w:tbl>
    <w:p>
      <w:pPr>
        <w:pStyle w:val="53"/>
        <w:ind w:firstLine="482"/>
        <w:rPr>
          <w:highlight w:val="none"/>
        </w:rPr>
      </w:pPr>
      <w:r>
        <w:rPr>
          <w:rFonts w:hint="eastAsia"/>
          <w:highlight w:val="none"/>
        </w:rPr>
        <w:t>注：①投标人必须按“分项报价明细表”的格式详细报出投标总价的各个组成部分的报价，否则作无效投标处理。</w:t>
      </w:r>
    </w:p>
    <w:p>
      <w:pPr>
        <w:pStyle w:val="53"/>
        <w:ind w:firstLine="482"/>
        <w:rPr>
          <w:highlight w:val="none"/>
        </w:rPr>
      </w:pPr>
      <w:r>
        <w:rPr>
          <w:rFonts w:hint="eastAsia"/>
          <w:highlight w:val="none"/>
        </w:rPr>
        <w:t>②“分项报价明细表”各分项报价合计应当与“开标一览表”报价合计相等。</w:t>
      </w:r>
    </w:p>
    <w:p>
      <w:pPr>
        <w:pStyle w:val="53"/>
        <w:ind w:firstLine="482"/>
        <w:rPr>
          <w:highlight w:val="none"/>
        </w:rPr>
      </w:pPr>
      <w:r>
        <w:rPr>
          <w:rFonts w:hint="eastAsia"/>
          <w:highlight w:val="none"/>
        </w:rPr>
        <w:t>③若国外品牌产品在国内(包含海关特殊监管区域)企业生产或加工，不属于进口产品，投标时供应商应注明实际生产或加工地点。</w:t>
      </w:r>
    </w:p>
    <w:p>
      <w:pPr>
        <w:pStyle w:val="29"/>
        <w:rPr>
          <w:highlight w:val="none"/>
        </w:rPr>
      </w:pPr>
    </w:p>
    <w:p>
      <w:pPr>
        <w:pStyle w:val="29"/>
        <w:rPr>
          <w:highlight w:val="none"/>
        </w:rPr>
      </w:pPr>
    </w:p>
    <w:p>
      <w:pPr>
        <w:pStyle w:val="29"/>
        <w:rPr>
          <w:highlight w:val="none"/>
        </w:rPr>
      </w:pPr>
    </w:p>
    <w:p>
      <w:pPr>
        <w:pStyle w:val="29"/>
        <w:rPr>
          <w:highlight w:val="none"/>
        </w:rPr>
      </w:pPr>
    </w:p>
    <w:p>
      <w:pPr>
        <w:pStyle w:val="33"/>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pStyle w:val="33"/>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p>
    <w:p>
      <w:pPr>
        <w:pageBreakBefore/>
        <w:numPr>
          <w:ilvl w:val="0"/>
          <w:numId w:val="21"/>
        </w:numPr>
        <w:wordWrap w:val="0"/>
        <w:topLinePunct/>
        <w:spacing w:before="120" w:beforeLines="50" w:after="120" w:afterLines="50"/>
        <w:jc w:val="center"/>
        <w:outlineLvl w:val="2"/>
        <w:rPr>
          <w:b/>
          <w:snapToGrid w:val="0"/>
          <w:sz w:val="28"/>
          <w:highlight w:val="none"/>
        </w:rPr>
        <w:sectPr>
          <w:pgSz w:w="11906" w:h="16838"/>
          <w:pgMar w:top="1440" w:right="1083" w:bottom="1440" w:left="1083" w:header="851" w:footer="992" w:gutter="0"/>
          <w:cols w:space="0" w:num="1"/>
          <w:titlePg/>
          <w:docGrid w:linePitch="312" w:charSpace="0"/>
        </w:sectPr>
      </w:pPr>
    </w:p>
    <w:p>
      <w:pPr>
        <w:pageBreakBefore/>
        <w:numPr>
          <w:ilvl w:val="0"/>
          <w:numId w:val="21"/>
        </w:numPr>
        <w:wordWrap w:val="0"/>
        <w:topLinePunct/>
        <w:spacing w:before="120" w:beforeLines="50" w:after="120" w:afterLines="50"/>
        <w:jc w:val="center"/>
        <w:outlineLvl w:val="2"/>
        <w:rPr>
          <w:b/>
          <w:snapToGrid w:val="0"/>
          <w:sz w:val="28"/>
          <w:highlight w:val="none"/>
        </w:rPr>
      </w:pPr>
      <w:bookmarkStart w:id="906" w:name="_Toc452"/>
      <w:r>
        <w:rPr>
          <w:rFonts w:hint="eastAsia"/>
          <w:b/>
          <w:snapToGrid w:val="0"/>
          <w:sz w:val="28"/>
          <w:highlight w:val="none"/>
        </w:rPr>
        <w:t>商务应答表</w:t>
      </w:r>
      <w:bookmarkEnd w:id="883"/>
      <w:bookmarkEnd w:id="884"/>
      <w:bookmarkEnd w:id="885"/>
      <w:bookmarkEnd w:id="886"/>
      <w:bookmarkEnd w:id="887"/>
      <w:bookmarkEnd w:id="888"/>
      <w:bookmarkEnd w:id="889"/>
      <w:bookmarkEnd w:id="890"/>
      <w:bookmarkEnd w:id="891"/>
      <w:bookmarkEnd w:id="892"/>
      <w:bookmarkEnd w:id="906"/>
    </w:p>
    <w:p>
      <w:pPr>
        <w:wordWrap w:val="0"/>
        <w:topLinePunct/>
        <w:rPr>
          <w:snapToGrid w:val="0"/>
          <w:highlight w:val="none"/>
          <w:u w:val="single"/>
        </w:rPr>
      </w:pPr>
      <w:r>
        <w:rPr>
          <w:rFonts w:hint="eastAsia"/>
          <w:snapToGrid w:val="0"/>
          <w:highlight w:val="none"/>
        </w:rPr>
        <w:t>项目名称：</w:t>
      </w:r>
      <w:r>
        <w:rPr>
          <w:rFonts w:hint="eastAsia"/>
          <w:snapToGrid w:val="0"/>
          <w:highlight w:val="none"/>
          <w:u w:val="single"/>
        </w:rPr>
        <w:t xml:space="preserve">                             </w:t>
      </w:r>
      <w:r>
        <w:rPr>
          <w:rFonts w:hint="eastAsia"/>
          <w:snapToGrid w:val="0"/>
          <w:highlight w:val="none"/>
        </w:rPr>
        <w:t xml:space="preserve"> </w:t>
      </w:r>
    </w:p>
    <w:p>
      <w:pPr>
        <w:wordWrap w:val="0"/>
        <w:topLinePunct/>
        <w:rPr>
          <w:snapToGrid w:val="0"/>
          <w:highlight w:val="none"/>
        </w:rPr>
      </w:pPr>
      <w:r>
        <w:rPr>
          <w:rFonts w:hint="eastAsia"/>
          <w:snapToGrid w:val="0"/>
          <w:highlight w:val="none"/>
        </w:rPr>
        <w:t>项目编号：</w:t>
      </w:r>
      <w:r>
        <w:rPr>
          <w:rFonts w:hint="eastAsia"/>
          <w:snapToGrid w:val="0"/>
          <w:highlight w:val="none"/>
          <w:u w:val="single"/>
        </w:rPr>
        <w:t xml:space="preserve">                             </w:t>
      </w:r>
    </w:p>
    <w:tbl>
      <w:tblPr>
        <w:tblStyle w:val="22"/>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b/>
                <w:bCs/>
                <w:sz w:val="21"/>
                <w:highlight w:val="none"/>
              </w:rPr>
            </w:pPr>
            <w:r>
              <w:rPr>
                <w:rFonts w:hint="eastAsia"/>
                <w:b/>
                <w:bCs/>
                <w:sz w:val="21"/>
                <w:highlight w:val="none"/>
              </w:rPr>
              <w:t>序号</w:t>
            </w:r>
          </w:p>
        </w:tc>
        <w:tc>
          <w:tcPr>
            <w:tcW w:w="4061" w:type="dxa"/>
            <w:vAlign w:val="center"/>
          </w:tcPr>
          <w:p>
            <w:pPr>
              <w:wordWrap w:val="0"/>
              <w:topLinePunct/>
              <w:spacing w:line="360" w:lineRule="exact"/>
              <w:jc w:val="center"/>
              <w:rPr>
                <w:b/>
                <w:bCs/>
                <w:sz w:val="21"/>
                <w:highlight w:val="none"/>
              </w:rPr>
            </w:pPr>
            <w:r>
              <w:rPr>
                <w:rFonts w:hint="eastAsia"/>
                <w:b/>
                <w:bCs/>
                <w:sz w:val="21"/>
                <w:highlight w:val="none"/>
              </w:rPr>
              <w:t>招标文件商务要求</w:t>
            </w:r>
          </w:p>
        </w:tc>
        <w:tc>
          <w:tcPr>
            <w:tcW w:w="3900" w:type="dxa"/>
            <w:vAlign w:val="center"/>
          </w:tcPr>
          <w:p>
            <w:pPr>
              <w:wordWrap w:val="0"/>
              <w:topLinePunct/>
              <w:spacing w:line="360" w:lineRule="exact"/>
              <w:jc w:val="center"/>
              <w:rPr>
                <w:b/>
                <w:bCs/>
                <w:sz w:val="21"/>
                <w:highlight w:val="none"/>
              </w:rPr>
            </w:pPr>
            <w:r>
              <w:rPr>
                <w:rFonts w:hint="eastAsia"/>
                <w:b/>
                <w:bCs/>
                <w:sz w:val="21"/>
                <w:highlight w:val="none"/>
              </w:rPr>
              <w:t>投标应答</w:t>
            </w:r>
          </w:p>
        </w:tc>
        <w:tc>
          <w:tcPr>
            <w:tcW w:w="1223" w:type="dxa"/>
            <w:vAlign w:val="center"/>
          </w:tcPr>
          <w:p>
            <w:pPr>
              <w:wordWrap w:val="0"/>
              <w:topLinePunct/>
              <w:spacing w:line="360" w:lineRule="exact"/>
              <w:jc w:val="center"/>
              <w:rPr>
                <w:b/>
                <w:bCs/>
                <w:sz w:val="21"/>
                <w:highlight w:val="none"/>
              </w:rPr>
            </w:pPr>
            <w:r>
              <w:rPr>
                <w:rFonts w:hint="eastAsia"/>
                <w:b/>
                <w:bCs/>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b/>
                <w:bCs/>
                <w:sz w:val="21"/>
                <w:highlight w:val="none"/>
              </w:rPr>
            </w:pPr>
          </w:p>
        </w:tc>
        <w:tc>
          <w:tcPr>
            <w:tcW w:w="4061" w:type="dxa"/>
          </w:tcPr>
          <w:p>
            <w:pPr>
              <w:wordWrap w:val="0"/>
              <w:topLinePunct/>
              <w:spacing w:line="360" w:lineRule="exact"/>
              <w:jc w:val="center"/>
              <w:rPr>
                <w:b/>
                <w:bCs/>
                <w:sz w:val="21"/>
                <w:highlight w:val="none"/>
              </w:rPr>
            </w:pPr>
          </w:p>
        </w:tc>
        <w:tc>
          <w:tcPr>
            <w:tcW w:w="3900" w:type="dxa"/>
          </w:tcPr>
          <w:p>
            <w:pPr>
              <w:wordWrap w:val="0"/>
              <w:topLinePunct/>
              <w:spacing w:line="360" w:lineRule="exact"/>
              <w:jc w:val="center"/>
              <w:rPr>
                <w:b/>
                <w:bCs/>
                <w:sz w:val="21"/>
                <w:highlight w:val="none"/>
              </w:rPr>
            </w:pPr>
          </w:p>
        </w:tc>
        <w:tc>
          <w:tcPr>
            <w:tcW w:w="1223" w:type="dxa"/>
          </w:tcPr>
          <w:p>
            <w:pPr>
              <w:wordWrap w:val="0"/>
              <w:topLinePunct/>
              <w:spacing w:line="360" w:lineRule="exact"/>
              <w:jc w:val="center"/>
              <w:rPr>
                <w:b/>
                <w:bCs/>
                <w:sz w:val="21"/>
                <w:highlight w:val="none"/>
              </w:rPr>
            </w:pPr>
          </w:p>
        </w:tc>
      </w:tr>
    </w:tbl>
    <w:p>
      <w:pPr>
        <w:wordWrap w:val="0"/>
        <w:topLinePunct/>
        <w:ind w:firstLine="482" w:firstLineChars="200"/>
        <w:rPr>
          <w:b/>
          <w:snapToGrid w:val="0"/>
          <w:highlight w:val="none"/>
        </w:rPr>
      </w:pPr>
      <w:r>
        <w:rPr>
          <w:rFonts w:hint="eastAsia"/>
          <w:b/>
          <w:snapToGrid w:val="0"/>
          <w:highlight w:val="none"/>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商务要求中要求提供的承诺函应单独响应。</w:t>
      </w:r>
    </w:p>
    <w:p>
      <w:pPr>
        <w:wordWrap w:val="0"/>
        <w:topLinePunct/>
        <w:rPr>
          <w:snapToGrid w:val="0"/>
          <w:highlight w:val="none"/>
        </w:rPr>
      </w:pP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r>
        <w:rPr>
          <w:rFonts w:hint="eastAsia"/>
          <w:highlight w:val="none"/>
        </w:rPr>
        <w:t xml:space="preserve">             </w:t>
      </w:r>
    </w:p>
    <w:p>
      <w:pPr>
        <w:wordWrap w:val="0"/>
        <w:topLinePunct/>
        <w:rPr>
          <w:snapToGrid w:val="0"/>
          <w:highlight w:val="none"/>
        </w:rPr>
      </w:pPr>
      <w:r>
        <w:rPr>
          <w:rFonts w:hint="eastAsia"/>
          <w:snapToGrid w:val="0"/>
          <w:highlight w:val="none"/>
        </w:rPr>
        <w:br w:type="page"/>
      </w:r>
    </w:p>
    <w:bookmarkEnd w:id="893"/>
    <w:bookmarkEnd w:id="894"/>
    <w:bookmarkEnd w:id="895"/>
    <w:p>
      <w:pPr>
        <w:pageBreakBefore/>
        <w:numPr>
          <w:ilvl w:val="0"/>
          <w:numId w:val="21"/>
        </w:numPr>
        <w:wordWrap w:val="0"/>
        <w:topLinePunct/>
        <w:spacing w:before="120" w:beforeLines="50" w:after="120" w:afterLines="50"/>
        <w:jc w:val="center"/>
        <w:outlineLvl w:val="2"/>
        <w:rPr>
          <w:b/>
          <w:snapToGrid w:val="0"/>
          <w:sz w:val="28"/>
          <w:highlight w:val="none"/>
        </w:rPr>
      </w:pPr>
      <w:bookmarkStart w:id="907" w:name="_Toc23573"/>
      <w:bookmarkStart w:id="908" w:name="_Toc3995"/>
      <w:bookmarkStart w:id="909" w:name="_Toc25122"/>
      <w:bookmarkStart w:id="910" w:name="_Toc13784"/>
      <w:bookmarkStart w:id="911" w:name="_Toc23376"/>
      <w:bookmarkStart w:id="912" w:name="_Toc23430"/>
      <w:bookmarkStart w:id="913" w:name="_Toc26522"/>
      <w:r>
        <w:rPr>
          <w:rFonts w:hint="eastAsia"/>
          <w:b/>
          <w:snapToGrid w:val="0"/>
          <w:sz w:val="28"/>
          <w:highlight w:val="none"/>
        </w:rPr>
        <w:t>投标产品技术参数应答表</w:t>
      </w:r>
      <w:bookmarkEnd w:id="907"/>
      <w:bookmarkEnd w:id="908"/>
      <w:bookmarkEnd w:id="909"/>
      <w:bookmarkEnd w:id="910"/>
      <w:bookmarkEnd w:id="911"/>
    </w:p>
    <w:p>
      <w:pPr>
        <w:wordWrap w:val="0"/>
        <w:topLinePunct/>
        <w:rPr>
          <w:snapToGrid w:val="0"/>
          <w:highlight w:val="none"/>
        </w:rPr>
      </w:pPr>
      <w:r>
        <w:rPr>
          <w:rFonts w:hint="eastAsia"/>
          <w:snapToGrid w:val="0"/>
          <w:highlight w:val="none"/>
        </w:rPr>
        <w:t>项目名称：</w:t>
      </w:r>
      <w:r>
        <w:rPr>
          <w:rFonts w:hint="eastAsia"/>
          <w:snapToGrid w:val="0"/>
          <w:highlight w:val="none"/>
          <w:u w:val="single"/>
        </w:rPr>
        <w:t xml:space="preserve">                        </w:t>
      </w:r>
      <w:r>
        <w:rPr>
          <w:rFonts w:hint="eastAsia"/>
          <w:snapToGrid w:val="0"/>
          <w:highlight w:val="none"/>
        </w:rPr>
        <w:t xml:space="preserve">      </w:t>
      </w:r>
    </w:p>
    <w:p>
      <w:pPr>
        <w:wordWrap w:val="0"/>
        <w:topLinePunct/>
        <w:rPr>
          <w:snapToGrid w:val="0"/>
          <w:highlight w:val="none"/>
          <w:u w:val="single"/>
        </w:rPr>
      </w:pPr>
      <w:r>
        <w:rPr>
          <w:rFonts w:hint="eastAsia"/>
          <w:snapToGrid w:val="0"/>
          <w:highlight w:val="none"/>
        </w:rPr>
        <w:t>项目编号：</w:t>
      </w:r>
      <w:r>
        <w:rPr>
          <w:rFonts w:hint="eastAsia"/>
          <w:snapToGrid w:val="0"/>
          <w:highlight w:val="none"/>
          <w:u w:val="single"/>
        </w:rPr>
        <w:t xml:space="preserve">                        </w:t>
      </w:r>
    </w:p>
    <w:tbl>
      <w:tblPr>
        <w:tblStyle w:val="22"/>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wordWrap w:val="0"/>
              <w:topLinePunct/>
              <w:spacing w:line="360" w:lineRule="exact"/>
              <w:jc w:val="center"/>
              <w:rPr>
                <w:b/>
                <w:bCs/>
                <w:sz w:val="21"/>
                <w:highlight w:val="none"/>
              </w:rPr>
            </w:pPr>
            <w:r>
              <w:rPr>
                <w:rFonts w:hint="eastAsia"/>
                <w:b/>
                <w:bCs/>
                <w:sz w:val="21"/>
                <w:highlight w:val="none"/>
              </w:rPr>
              <w:t>序号</w:t>
            </w:r>
          </w:p>
        </w:tc>
        <w:tc>
          <w:tcPr>
            <w:tcW w:w="2176" w:type="dxa"/>
            <w:vAlign w:val="center"/>
          </w:tcPr>
          <w:p>
            <w:pPr>
              <w:wordWrap w:val="0"/>
              <w:topLinePunct/>
              <w:spacing w:line="360" w:lineRule="exact"/>
              <w:jc w:val="center"/>
              <w:rPr>
                <w:b/>
                <w:bCs/>
                <w:sz w:val="21"/>
                <w:highlight w:val="none"/>
              </w:rPr>
            </w:pPr>
            <w:r>
              <w:rPr>
                <w:rFonts w:hint="eastAsia"/>
                <w:b/>
                <w:bCs/>
                <w:sz w:val="21"/>
                <w:highlight w:val="none"/>
              </w:rPr>
              <w:t>设备名称</w:t>
            </w:r>
          </w:p>
        </w:tc>
        <w:tc>
          <w:tcPr>
            <w:tcW w:w="2681" w:type="dxa"/>
            <w:vAlign w:val="center"/>
          </w:tcPr>
          <w:p>
            <w:pPr>
              <w:wordWrap w:val="0"/>
              <w:topLinePunct/>
              <w:spacing w:line="360" w:lineRule="exact"/>
              <w:jc w:val="center"/>
              <w:rPr>
                <w:b/>
                <w:bCs/>
                <w:sz w:val="21"/>
                <w:highlight w:val="none"/>
              </w:rPr>
            </w:pPr>
            <w:r>
              <w:rPr>
                <w:rFonts w:hint="eastAsia"/>
                <w:b/>
                <w:bCs/>
                <w:sz w:val="21"/>
                <w:highlight w:val="none"/>
              </w:rPr>
              <w:t>招标文件技术参数及配置要求</w:t>
            </w:r>
          </w:p>
        </w:tc>
        <w:tc>
          <w:tcPr>
            <w:tcW w:w="2745" w:type="dxa"/>
            <w:vAlign w:val="center"/>
          </w:tcPr>
          <w:p>
            <w:pPr>
              <w:wordWrap w:val="0"/>
              <w:topLinePunct/>
              <w:spacing w:line="360" w:lineRule="exact"/>
              <w:jc w:val="center"/>
              <w:rPr>
                <w:b/>
                <w:bCs/>
                <w:sz w:val="21"/>
                <w:highlight w:val="none"/>
              </w:rPr>
            </w:pPr>
            <w:r>
              <w:rPr>
                <w:rFonts w:hint="eastAsia"/>
                <w:b/>
                <w:bCs/>
                <w:sz w:val="21"/>
                <w:highlight w:val="none"/>
              </w:rPr>
              <w:t>投标产品技术参数</w:t>
            </w:r>
          </w:p>
        </w:tc>
        <w:tc>
          <w:tcPr>
            <w:tcW w:w="1493" w:type="dxa"/>
            <w:vAlign w:val="center"/>
          </w:tcPr>
          <w:p>
            <w:pPr>
              <w:wordWrap w:val="0"/>
              <w:topLinePunct/>
              <w:spacing w:line="360" w:lineRule="exact"/>
              <w:jc w:val="center"/>
              <w:rPr>
                <w:b/>
                <w:bCs/>
                <w:sz w:val="21"/>
                <w:highlight w:val="none"/>
              </w:rPr>
            </w:pPr>
            <w:r>
              <w:rPr>
                <w:rFonts w:hint="eastAsia"/>
                <w:b/>
                <w:bCs/>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wordWrap w:val="0"/>
              <w:topLinePunct/>
              <w:spacing w:line="360" w:lineRule="exact"/>
              <w:jc w:val="center"/>
              <w:rPr>
                <w:b/>
                <w:bCs/>
                <w:sz w:val="21"/>
                <w:highlight w:val="none"/>
              </w:rPr>
            </w:pPr>
          </w:p>
        </w:tc>
        <w:tc>
          <w:tcPr>
            <w:tcW w:w="2176" w:type="dxa"/>
          </w:tcPr>
          <w:p>
            <w:pPr>
              <w:wordWrap w:val="0"/>
              <w:topLinePunct/>
              <w:spacing w:line="360" w:lineRule="exact"/>
              <w:jc w:val="center"/>
              <w:rPr>
                <w:b/>
                <w:bCs/>
                <w:sz w:val="21"/>
                <w:highlight w:val="none"/>
              </w:rPr>
            </w:pPr>
          </w:p>
        </w:tc>
        <w:tc>
          <w:tcPr>
            <w:tcW w:w="2681" w:type="dxa"/>
          </w:tcPr>
          <w:p>
            <w:pPr>
              <w:wordWrap w:val="0"/>
              <w:topLinePunct/>
              <w:spacing w:line="360" w:lineRule="exact"/>
              <w:jc w:val="center"/>
              <w:rPr>
                <w:b/>
                <w:bCs/>
                <w:sz w:val="21"/>
                <w:highlight w:val="none"/>
              </w:rPr>
            </w:pPr>
          </w:p>
        </w:tc>
        <w:tc>
          <w:tcPr>
            <w:tcW w:w="2745" w:type="dxa"/>
          </w:tcPr>
          <w:p>
            <w:pPr>
              <w:wordWrap w:val="0"/>
              <w:topLinePunct/>
              <w:spacing w:line="360" w:lineRule="exact"/>
              <w:jc w:val="center"/>
              <w:rPr>
                <w:b/>
                <w:bCs/>
                <w:sz w:val="21"/>
                <w:highlight w:val="none"/>
              </w:rPr>
            </w:pPr>
          </w:p>
        </w:tc>
        <w:tc>
          <w:tcPr>
            <w:tcW w:w="1493" w:type="dxa"/>
          </w:tcPr>
          <w:p>
            <w:pPr>
              <w:wordWrap w:val="0"/>
              <w:topLinePunct/>
              <w:spacing w:line="360" w:lineRule="exact"/>
              <w:jc w:val="center"/>
              <w:rPr>
                <w:b/>
                <w:bCs/>
                <w:sz w:val="21"/>
                <w:highlight w:val="none"/>
              </w:rPr>
            </w:pPr>
          </w:p>
        </w:tc>
      </w:tr>
    </w:tbl>
    <w:p>
      <w:pPr>
        <w:wordWrap w:val="0"/>
        <w:topLinePunct/>
        <w:ind w:firstLine="482" w:firstLineChars="200"/>
        <w:rPr>
          <w:b/>
          <w:snapToGrid w:val="0"/>
          <w:highlight w:val="none"/>
        </w:rPr>
      </w:pPr>
      <w:r>
        <w:rPr>
          <w:rFonts w:hint="eastAsia"/>
          <w:b/>
          <w:snapToGrid w:val="0"/>
          <w:highlight w:val="none"/>
        </w:rPr>
        <w:t>注：①供应商必须把招标项目的全部“</w:t>
      </w:r>
      <w:r>
        <w:rPr>
          <w:rFonts w:hint="eastAsia"/>
          <w:b/>
          <w:snapToGrid w:val="0"/>
          <w:highlight w:val="none"/>
          <w:lang w:val="en-US" w:eastAsia="zh-CN"/>
        </w:rPr>
        <w:t>技术</w:t>
      </w:r>
      <w:r>
        <w:rPr>
          <w:rFonts w:hint="eastAsia"/>
          <w:b/>
          <w:snapToGrid w:val="0"/>
          <w:highlight w:val="none"/>
        </w:rPr>
        <w:t>参数及配置要求”列入此表。</w:t>
      </w:r>
    </w:p>
    <w:p>
      <w:pPr>
        <w:wordWrap w:val="0"/>
        <w:topLinePunct/>
        <w:ind w:firstLine="482" w:firstLineChars="200"/>
        <w:rPr>
          <w:b/>
          <w:snapToGrid w:val="0"/>
          <w:highlight w:val="none"/>
        </w:rPr>
      </w:pPr>
      <w:r>
        <w:rPr>
          <w:rFonts w:hint="eastAsia"/>
          <w:b/>
          <w:snapToGrid w:val="0"/>
          <w:highlight w:val="none"/>
        </w:rPr>
        <w:t>②按照招标项目技术要求的顺序对应填写。</w:t>
      </w:r>
    </w:p>
    <w:p>
      <w:pPr>
        <w:wordWrap w:val="0"/>
        <w:topLinePunct/>
        <w:ind w:firstLine="482" w:firstLineChars="200"/>
        <w:rPr>
          <w:b/>
          <w:snapToGrid w:val="0"/>
          <w:highlight w:val="none"/>
        </w:rPr>
      </w:pPr>
      <w:r>
        <w:rPr>
          <w:rFonts w:hint="eastAsia"/>
          <w:b/>
          <w:snapToGrid w:val="0"/>
          <w:highlight w:val="none"/>
        </w:rPr>
        <w:t>③供应商必须据实填写，不得虚假填写，否则将取消其投标或中标资格。</w:t>
      </w:r>
    </w:p>
    <w:p>
      <w:pPr>
        <w:wordWrap w:val="0"/>
        <w:topLinePunct/>
        <w:ind w:firstLine="482" w:firstLineChars="200"/>
        <w:rPr>
          <w:b/>
          <w:snapToGrid w:val="0"/>
          <w:highlight w:val="none"/>
        </w:rPr>
      </w:pPr>
      <w:r>
        <w:rPr>
          <w:rFonts w:hint="eastAsia"/>
          <w:b/>
          <w:snapToGrid w:val="0"/>
          <w:highlight w:val="none"/>
        </w:rPr>
        <w:t>④“参数及配置要求”中实质性要求不允许负偏离，否则视为无效投标。</w:t>
      </w:r>
    </w:p>
    <w:p>
      <w:pPr>
        <w:wordWrap w:val="0"/>
        <w:topLinePunct/>
        <w:ind w:firstLine="482" w:firstLineChars="200"/>
        <w:rPr>
          <w:b/>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bCs/>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bCs/>
          <w:highlight w:val="none"/>
          <w:u w:val="single"/>
        </w:rPr>
        <w:t xml:space="preserve">                 </w:t>
      </w:r>
    </w:p>
    <w:p>
      <w:pPr>
        <w:wordWrap w:val="0"/>
        <w:topLinePunct/>
        <w:rPr>
          <w:snapToGrid w:val="0"/>
          <w:highlight w:val="none"/>
        </w:rPr>
      </w:pPr>
      <w:r>
        <w:rPr>
          <w:rFonts w:hint="eastAsia"/>
          <w:snapToGrid w:val="0"/>
          <w:highlight w:val="none"/>
        </w:rPr>
        <w:br w:type="page"/>
      </w:r>
    </w:p>
    <w:bookmarkEnd w:id="912"/>
    <w:bookmarkEnd w:id="913"/>
    <w:p>
      <w:pPr>
        <w:pageBreakBefore/>
        <w:numPr>
          <w:ilvl w:val="0"/>
          <w:numId w:val="21"/>
        </w:numPr>
        <w:wordWrap w:val="0"/>
        <w:topLinePunct/>
        <w:spacing w:before="120" w:beforeLines="50" w:after="120" w:afterLines="50"/>
        <w:jc w:val="center"/>
        <w:outlineLvl w:val="2"/>
        <w:rPr>
          <w:b/>
          <w:snapToGrid w:val="0"/>
          <w:sz w:val="28"/>
          <w:highlight w:val="none"/>
        </w:rPr>
      </w:pPr>
      <w:bookmarkStart w:id="914" w:name="_Toc28539"/>
      <w:bookmarkStart w:id="915" w:name="_Toc21301"/>
      <w:bookmarkStart w:id="916" w:name="_Toc13479"/>
      <w:r>
        <w:rPr>
          <w:rFonts w:hint="eastAsia"/>
          <w:b/>
          <w:snapToGrid w:val="0"/>
          <w:sz w:val="28"/>
          <w:highlight w:val="none"/>
        </w:rPr>
        <w:t>履约能力及相关证明</w:t>
      </w:r>
      <w:bookmarkEnd w:id="914"/>
      <w:bookmarkEnd w:id="915"/>
      <w:bookmarkEnd w:id="916"/>
    </w:p>
    <w:p>
      <w:pPr>
        <w:wordWrap w:val="0"/>
        <w:topLinePunct/>
        <w:ind w:firstLine="482" w:firstLineChars="200"/>
        <w:rPr>
          <w:b/>
          <w:snapToGrid w:val="0"/>
          <w:highlight w:val="none"/>
        </w:rPr>
      </w:pPr>
      <w:r>
        <w:rPr>
          <w:rFonts w:hint="eastAsia"/>
          <w:b/>
          <w:snapToGrid w:val="0"/>
          <w:highlight w:val="none"/>
        </w:rPr>
        <w:t>注：格式自拟。</w:t>
      </w: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r>
        <w:rPr>
          <w:rFonts w:hint="eastAsia"/>
          <w:snapToGrid w:val="0"/>
          <w:highlight w:val="none"/>
        </w:rPr>
        <w:br w:type="page"/>
      </w:r>
    </w:p>
    <w:bookmarkEnd w:id="896"/>
    <w:p>
      <w:pPr>
        <w:pageBreakBefore/>
        <w:numPr>
          <w:ilvl w:val="0"/>
          <w:numId w:val="21"/>
        </w:numPr>
        <w:wordWrap w:val="0"/>
        <w:topLinePunct/>
        <w:spacing w:before="120" w:beforeLines="50" w:after="120" w:afterLines="50"/>
        <w:jc w:val="center"/>
        <w:outlineLvl w:val="2"/>
        <w:rPr>
          <w:b/>
          <w:snapToGrid w:val="0"/>
          <w:sz w:val="28"/>
          <w:highlight w:val="none"/>
        </w:rPr>
      </w:pPr>
      <w:bookmarkStart w:id="917" w:name="_Toc13361"/>
      <w:bookmarkStart w:id="918" w:name="_Toc4044"/>
      <w:bookmarkStart w:id="919" w:name="_Toc9870"/>
      <w:bookmarkStart w:id="920" w:name="_Toc19240"/>
      <w:r>
        <w:rPr>
          <w:rFonts w:hint="eastAsia"/>
          <w:b/>
          <w:snapToGrid w:val="0"/>
          <w:sz w:val="28"/>
          <w:highlight w:val="none"/>
        </w:rPr>
        <w:t>投标人针对本项目人员配置情况表</w:t>
      </w:r>
      <w:bookmarkEnd w:id="917"/>
      <w:bookmarkEnd w:id="918"/>
      <w:bookmarkEnd w:id="919"/>
    </w:p>
    <w:p>
      <w:pPr>
        <w:wordWrap w:val="0"/>
        <w:topLinePunct/>
        <w:rPr>
          <w:snapToGrid w:val="0"/>
          <w:highlight w:val="none"/>
        </w:rPr>
      </w:pPr>
      <w:r>
        <w:rPr>
          <w:rFonts w:hint="eastAsia"/>
          <w:snapToGrid w:val="0"/>
          <w:highlight w:val="none"/>
        </w:rPr>
        <w:t>项目名称：</w:t>
      </w:r>
      <w:r>
        <w:rPr>
          <w:rFonts w:hint="eastAsia"/>
          <w:snapToGrid w:val="0"/>
          <w:highlight w:val="none"/>
          <w:u w:val="single"/>
        </w:rPr>
        <w:t xml:space="preserve">                              </w:t>
      </w:r>
    </w:p>
    <w:p>
      <w:pPr>
        <w:wordWrap w:val="0"/>
        <w:topLinePunct/>
        <w:rPr>
          <w:snapToGrid w:val="0"/>
          <w:highlight w:val="none"/>
          <w:u w:val="single"/>
        </w:rPr>
      </w:pPr>
      <w:r>
        <w:rPr>
          <w:rFonts w:hint="eastAsia"/>
          <w:snapToGrid w:val="0"/>
          <w:highlight w:val="none"/>
        </w:rPr>
        <w:t>项目编号：</w:t>
      </w:r>
      <w:r>
        <w:rPr>
          <w:rFonts w:hint="eastAsia"/>
          <w:snapToGrid w:val="0"/>
          <w:highlight w:val="none"/>
          <w:u w:val="single"/>
        </w:rPr>
        <w:t xml:space="preserve">                              </w:t>
      </w:r>
    </w:p>
    <w:tbl>
      <w:tblPr>
        <w:tblStyle w:val="22"/>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wordWrap w:val="0"/>
              <w:topLinePunct/>
              <w:spacing w:line="360" w:lineRule="exact"/>
              <w:jc w:val="center"/>
              <w:rPr>
                <w:b/>
                <w:bCs/>
                <w:sz w:val="21"/>
                <w:highlight w:val="none"/>
              </w:rPr>
            </w:pPr>
            <w:r>
              <w:rPr>
                <w:rFonts w:hint="eastAsia"/>
                <w:b/>
                <w:bCs/>
                <w:sz w:val="21"/>
                <w:highlight w:val="none"/>
              </w:rPr>
              <w:t>类别</w:t>
            </w:r>
          </w:p>
        </w:tc>
        <w:tc>
          <w:tcPr>
            <w:tcW w:w="923" w:type="dxa"/>
            <w:vMerge w:val="restart"/>
            <w:vAlign w:val="center"/>
          </w:tcPr>
          <w:p>
            <w:pPr>
              <w:wordWrap w:val="0"/>
              <w:topLinePunct/>
              <w:spacing w:line="360" w:lineRule="exact"/>
              <w:jc w:val="center"/>
              <w:rPr>
                <w:b/>
                <w:bCs/>
                <w:sz w:val="21"/>
                <w:highlight w:val="none"/>
              </w:rPr>
            </w:pPr>
            <w:r>
              <w:rPr>
                <w:rFonts w:hint="eastAsia"/>
                <w:b/>
                <w:bCs/>
                <w:sz w:val="21"/>
                <w:highlight w:val="none"/>
              </w:rPr>
              <w:t>职务(岗位)</w:t>
            </w:r>
          </w:p>
        </w:tc>
        <w:tc>
          <w:tcPr>
            <w:tcW w:w="921" w:type="dxa"/>
            <w:vMerge w:val="restart"/>
            <w:vAlign w:val="center"/>
          </w:tcPr>
          <w:p>
            <w:pPr>
              <w:wordWrap w:val="0"/>
              <w:topLinePunct/>
              <w:spacing w:line="360" w:lineRule="exact"/>
              <w:jc w:val="center"/>
              <w:rPr>
                <w:b/>
                <w:bCs/>
                <w:sz w:val="21"/>
                <w:highlight w:val="none"/>
              </w:rPr>
            </w:pPr>
            <w:r>
              <w:rPr>
                <w:rFonts w:hint="eastAsia"/>
                <w:b/>
                <w:bCs/>
                <w:sz w:val="21"/>
                <w:highlight w:val="none"/>
              </w:rPr>
              <w:t>姓名</w:t>
            </w:r>
          </w:p>
        </w:tc>
        <w:tc>
          <w:tcPr>
            <w:tcW w:w="923" w:type="dxa"/>
            <w:vMerge w:val="restart"/>
            <w:vAlign w:val="center"/>
          </w:tcPr>
          <w:p>
            <w:pPr>
              <w:wordWrap w:val="0"/>
              <w:topLinePunct/>
              <w:spacing w:line="360" w:lineRule="exact"/>
              <w:jc w:val="center"/>
              <w:rPr>
                <w:b/>
                <w:bCs/>
                <w:sz w:val="21"/>
                <w:highlight w:val="none"/>
              </w:rPr>
            </w:pPr>
            <w:r>
              <w:rPr>
                <w:rFonts w:hint="eastAsia"/>
                <w:b/>
                <w:bCs/>
                <w:sz w:val="21"/>
                <w:highlight w:val="none"/>
              </w:rPr>
              <w:t>职称</w:t>
            </w:r>
          </w:p>
        </w:tc>
        <w:tc>
          <w:tcPr>
            <w:tcW w:w="922" w:type="dxa"/>
            <w:vMerge w:val="restart"/>
            <w:vAlign w:val="center"/>
          </w:tcPr>
          <w:p>
            <w:pPr>
              <w:wordWrap w:val="0"/>
              <w:topLinePunct/>
              <w:spacing w:line="360" w:lineRule="exact"/>
              <w:jc w:val="center"/>
              <w:rPr>
                <w:b/>
                <w:bCs/>
                <w:sz w:val="21"/>
                <w:highlight w:val="none"/>
              </w:rPr>
            </w:pPr>
            <w:r>
              <w:rPr>
                <w:rFonts w:hint="eastAsia"/>
                <w:b/>
                <w:bCs/>
                <w:sz w:val="21"/>
                <w:highlight w:val="none"/>
              </w:rPr>
              <w:t>常住地</w:t>
            </w:r>
          </w:p>
        </w:tc>
        <w:tc>
          <w:tcPr>
            <w:tcW w:w="4919" w:type="dxa"/>
            <w:gridSpan w:val="4"/>
            <w:vAlign w:val="center"/>
          </w:tcPr>
          <w:p>
            <w:pPr>
              <w:wordWrap w:val="0"/>
              <w:topLinePunct/>
              <w:spacing w:line="360" w:lineRule="exact"/>
              <w:jc w:val="center"/>
              <w:rPr>
                <w:b/>
                <w:bCs/>
                <w:sz w:val="21"/>
                <w:highlight w:val="none"/>
              </w:rPr>
            </w:pPr>
            <w:r>
              <w:rPr>
                <w:rFonts w:hint="eastAsia"/>
                <w:b/>
                <w:bCs/>
                <w:sz w:val="21"/>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wordWrap w:val="0"/>
              <w:topLinePunct/>
              <w:spacing w:line="360" w:lineRule="exact"/>
              <w:jc w:val="center"/>
              <w:rPr>
                <w:b/>
                <w:bCs/>
                <w:sz w:val="21"/>
                <w:highlight w:val="none"/>
              </w:rPr>
            </w:pPr>
          </w:p>
        </w:tc>
        <w:tc>
          <w:tcPr>
            <w:tcW w:w="923" w:type="dxa"/>
            <w:vMerge w:val="continue"/>
            <w:vAlign w:val="center"/>
          </w:tcPr>
          <w:p>
            <w:pPr>
              <w:wordWrap w:val="0"/>
              <w:topLinePunct/>
              <w:spacing w:line="360" w:lineRule="exact"/>
              <w:jc w:val="center"/>
              <w:rPr>
                <w:b/>
                <w:bCs/>
                <w:sz w:val="21"/>
                <w:highlight w:val="none"/>
              </w:rPr>
            </w:pPr>
          </w:p>
        </w:tc>
        <w:tc>
          <w:tcPr>
            <w:tcW w:w="921" w:type="dxa"/>
            <w:vMerge w:val="continue"/>
            <w:vAlign w:val="center"/>
          </w:tcPr>
          <w:p>
            <w:pPr>
              <w:wordWrap w:val="0"/>
              <w:topLinePunct/>
              <w:spacing w:line="360" w:lineRule="exact"/>
              <w:jc w:val="center"/>
              <w:rPr>
                <w:b/>
                <w:bCs/>
                <w:sz w:val="21"/>
                <w:highlight w:val="none"/>
              </w:rPr>
            </w:pPr>
          </w:p>
        </w:tc>
        <w:tc>
          <w:tcPr>
            <w:tcW w:w="923" w:type="dxa"/>
            <w:vMerge w:val="continue"/>
            <w:vAlign w:val="center"/>
          </w:tcPr>
          <w:p>
            <w:pPr>
              <w:wordWrap w:val="0"/>
              <w:topLinePunct/>
              <w:spacing w:line="360" w:lineRule="exact"/>
              <w:jc w:val="center"/>
              <w:rPr>
                <w:b/>
                <w:bCs/>
                <w:sz w:val="21"/>
                <w:highlight w:val="none"/>
              </w:rPr>
            </w:pPr>
          </w:p>
        </w:tc>
        <w:tc>
          <w:tcPr>
            <w:tcW w:w="922" w:type="dxa"/>
            <w:vMerge w:val="continue"/>
            <w:vAlign w:val="center"/>
          </w:tcPr>
          <w:p>
            <w:pPr>
              <w:wordWrap w:val="0"/>
              <w:topLinePunct/>
              <w:spacing w:line="360" w:lineRule="exact"/>
              <w:jc w:val="center"/>
              <w:rPr>
                <w:b/>
                <w:bCs/>
                <w:sz w:val="21"/>
                <w:highlight w:val="none"/>
              </w:rPr>
            </w:pPr>
          </w:p>
        </w:tc>
        <w:tc>
          <w:tcPr>
            <w:tcW w:w="1436" w:type="dxa"/>
            <w:vAlign w:val="center"/>
          </w:tcPr>
          <w:p>
            <w:pPr>
              <w:wordWrap w:val="0"/>
              <w:topLinePunct/>
              <w:spacing w:line="360" w:lineRule="exact"/>
              <w:jc w:val="center"/>
              <w:rPr>
                <w:b/>
                <w:bCs/>
                <w:sz w:val="21"/>
                <w:highlight w:val="none"/>
              </w:rPr>
            </w:pPr>
            <w:r>
              <w:rPr>
                <w:rFonts w:hint="eastAsia"/>
                <w:b/>
                <w:bCs/>
                <w:sz w:val="21"/>
                <w:highlight w:val="none"/>
              </w:rPr>
              <w:t>证书名称</w:t>
            </w:r>
          </w:p>
        </w:tc>
        <w:tc>
          <w:tcPr>
            <w:tcW w:w="1022" w:type="dxa"/>
            <w:vAlign w:val="center"/>
          </w:tcPr>
          <w:p>
            <w:pPr>
              <w:wordWrap w:val="0"/>
              <w:topLinePunct/>
              <w:spacing w:line="360" w:lineRule="exact"/>
              <w:jc w:val="center"/>
              <w:rPr>
                <w:b/>
                <w:bCs/>
                <w:sz w:val="21"/>
                <w:highlight w:val="none"/>
              </w:rPr>
            </w:pPr>
            <w:r>
              <w:rPr>
                <w:rFonts w:hint="eastAsia"/>
                <w:b/>
                <w:bCs/>
                <w:sz w:val="21"/>
                <w:highlight w:val="none"/>
              </w:rPr>
              <w:t>级别</w:t>
            </w:r>
          </w:p>
        </w:tc>
        <w:tc>
          <w:tcPr>
            <w:tcW w:w="1232" w:type="dxa"/>
            <w:vAlign w:val="center"/>
          </w:tcPr>
          <w:p>
            <w:pPr>
              <w:wordWrap w:val="0"/>
              <w:topLinePunct/>
              <w:spacing w:line="360" w:lineRule="exact"/>
              <w:jc w:val="center"/>
              <w:rPr>
                <w:b/>
                <w:bCs/>
                <w:sz w:val="21"/>
                <w:highlight w:val="none"/>
              </w:rPr>
            </w:pPr>
            <w:r>
              <w:rPr>
                <w:rFonts w:hint="eastAsia"/>
                <w:b/>
                <w:bCs/>
                <w:sz w:val="21"/>
                <w:highlight w:val="none"/>
              </w:rPr>
              <w:t>证号</w:t>
            </w:r>
          </w:p>
        </w:tc>
        <w:tc>
          <w:tcPr>
            <w:tcW w:w="1229" w:type="dxa"/>
            <w:vAlign w:val="center"/>
          </w:tcPr>
          <w:p>
            <w:pPr>
              <w:wordWrap w:val="0"/>
              <w:topLinePunct/>
              <w:spacing w:line="360" w:lineRule="exact"/>
              <w:jc w:val="center"/>
              <w:rPr>
                <w:b/>
                <w:bCs/>
                <w:sz w:val="21"/>
                <w:highlight w:val="none"/>
              </w:rPr>
            </w:pPr>
            <w:r>
              <w:rPr>
                <w:rFonts w:hint="eastAsia"/>
                <w:b/>
                <w:bCs/>
                <w:sz w:val="21"/>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00" w:hRule="atLeast"/>
          <w:jc w:val="center"/>
        </w:trPr>
        <w:tc>
          <w:tcPr>
            <w:tcW w:w="1348" w:type="dxa"/>
            <w:vMerge w:val="restart"/>
            <w:vAlign w:val="center"/>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1" w:type="dxa"/>
          </w:tcPr>
          <w:p>
            <w:pPr>
              <w:wordWrap w:val="0"/>
              <w:topLinePunct/>
              <w:spacing w:line="360" w:lineRule="exact"/>
              <w:jc w:val="center"/>
              <w:rPr>
                <w:sz w:val="21"/>
                <w:highlight w:val="none"/>
              </w:rPr>
            </w:pPr>
          </w:p>
        </w:tc>
        <w:tc>
          <w:tcPr>
            <w:tcW w:w="923" w:type="dxa"/>
          </w:tcPr>
          <w:p>
            <w:pPr>
              <w:wordWrap w:val="0"/>
              <w:topLinePunct/>
              <w:spacing w:line="360" w:lineRule="exact"/>
              <w:jc w:val="center"/>
              <w:rPr>
                <w:sz w:val="21"/>
                <w:highlight w:val="none"/>
              </w:rPr>
            </w:pPr>
          </w:p>
        </w:tc>
        <w:tc>
          <w:tcPr>
            <w:tcW w:w="922" w:type="dxa"/>
          </w:tcPr>
          <w:p>
            <w:pPr>
              <w:wordWrap w:val="0"/>
              <w:topLinePunct/>
              <w:spacing w:line="360" w:lineRule="exact"/>
              <w:jc w:val="center"/>
              <w:rPr>
                <w:sz w:val="21"/>
                <w:highlight w:val="none"/>
              </w:rPr>
            </w:pPr>
          </w:p>
        </w:tc>
        <w:tc>
          <w:tcPr>
            <w:tcW w:w="1436" w:type="dxa"/>
          </w:tcPr>
          <w:p>
            <w:pPr>
              <w:wordWrap w:val="0"/>
              <w:topLinePunct/>
              <w:spacing w:line="360" w:lineRule="exact"/>
              <w:jc w:val="center"/>
              <w:rPr>
                <w:sz w:val="21"/>
                <w:highlight w:val="none"/>
              </w:rPr>
            </w:pPr>
          </w:p>
        </w:tc>
        <w:tc>
          <w:tcPr>
            <w:tcW w:w="1022" w:type="dxa"/>
          </w:tcPr>
          <w:p>
            <w:pPr>
              <w:wordWrap w:val="0"/>
              <w:topLinePunct/>
              <w:spacing w:line="360" w:lineRule="exact"/>
              <w:jc w:val="center"/>
              <w:rPr>
                <w:sz w:val="21"/>
                <w:highlight w:val="none"/>
              </w:rPr>
            </w:pPr>
          </w:p>
        </w:tc>
        <w:tc>
          <w:tcPr>
            <w:tcW w:w="1232" w:type="dxa"/>
          </w:tcPr>
          <w:p>
            <w:pPr>
              <w:wordWrap w:val="0"/>
              <w:topLinePunct/>
              <w:spacing w:line="360" w:lineRule="exact"/>
              <w:jc w:val="center"/>
              <w:rPr>
                <w:sz w:val="21"/>
                <w:highlight w:val="none"/>
              </w:rPr>
            </w:pPr>
          </w:p>
        </w:tc>
        <w:tc>
          <w:tcPr>
            <w:tcW w:w="1229" w:type="dxa"/>
          </w:tcPr>
          <w:p>
            <w:pPr>
              <w:wordWrap w:val="0"/>
              <w:topLinePunct/>
              <w:spacing w:line="360" w:lineRule="exact"/>
              <w:jc w:val="center"/>
              <w:rPr>
                <w:sz w:val="21"/>
                <w:highlight w:val="none"/>
              </w:rPr>
            </w:pPr>
          </w:p>
        </w:tc>
      </w:tr>
    </w:tbl>
    <w:p>
      <w:pPr>
        <w:wordWrap w:val="0"/>
        <w:topLinePunct/>
        <w:ind w:firstLine="482" w:firstLineChars="200"/>
        <w:rPr>
          <w:b/>
          <w:snapToGrid w:val="0"/>
          <w:highlight w:val="none"/>
        </w:rPr>
      </w:pPr>
      <w:r>
        <w:rPr>
          <w:rFonts w:hint="eastAsia"/>
          <w:b/>
          <w:snapToGrid w:val="0"/>
          <w:highlight w:val="none"/>
        </w:rPr>
        <w:t>注：①投标人根据自身实际情况填写，对不涉及的内容可填写“/”。②本表所列项目管理成员信息将作为主管部门监督管理是否属于串通投标的情形。</w:t>
      </w:r>
    </w:p>
    <w:p>
      <w:pPr>
        <w:wordWrap w:val="0"/>
        <w:topLinePunct/>
        <w:rPr>
          <w:snapToGrid w:val="0"/>
          <w:highlight w:val="none"/>
        </w:rPr>
      </w:pPr>
    </w:p>
    <w:p>
      <w:pPr>
        <w:wordWrap w:val="0"/>
        <w:topLinePunct/>
        <w:rPr>
          <w:snapToGrid w:val="0"/>
          <w:highlight w:val="none"/>
        </w:rPr>
      </w:pPr>
    </w:p>
    <w:p>
      <w:pPr>
        <w:wordWrap w:val="0"/>
        <w:topLinePunct/>
        <w:ind w:firstLine="480" w:firstLineChars="200"/>
        <w:rPr>
          <w:highlight w:val="none"/>
        </w:rPr>
      </w:pPr>
      <w:r>
        <w:rPr>
          <w:rFonts w:hint="eastAsia"/>
          <w:highlight w:val="none"/>
        </w:rPr>
        <w:t>投标人名称：</w:t>
      </w:r>
      <w:r>
        <w:rPr>
          <w:rFonts w:hint="eastAsia" w:asciiTheme="minorEastAsia" w:hAnsiTheme="minorEastAsia" w:eastAsiaTheme="minorEastAsia" w:cstheme="minorEastAsia"/>
          <w:highlight w:val="none"/>
          <w:u w:val="single"/>
        </w:rPr>
        <w:t xml:space="preserve">            </w:t>
      </w:r>
    </w:p>
    <w:p>
      <w:pPr>
        <w:wordWrap w:val="0"/>
        <w:topLinePunct/>
        <w:ind w:firstLine="480" w:firstLineChars="200"/>
        <w:rPr>
          <w:highlight w:val="none"/>
        </w:rPr>
      </w:pPr>
      <w:r>
        <w:rPr>
          <w:rFonts w:hint="eastAsia"/>
          <w:highlight w:val="none"/>
        </w:rPr>
        <w:t>投标日期：</w:t>
      </w:r>
      <w:r>
        <w:rPr>
          <w:rFonts w:hint="eastAsia" w:asciiTheme="minorEastAsia" w:hAnsiTheme="minorEastAsia" w:eastAsiaTheme="minorEastAsia" w:cstheme="minorEastAsia"/>
          <w:highlight w:val="none"/>
          <w:u w:val="single"/>
        </w:rPr>
        <w:t xml:space="preserve">            </w:t>
      </w:r>
      <w:r>
        <w:rPr>
          <w:rFonts w:hint="eastAsia"/>
          <w:highlight w:val="none"/>
        </w:rPr>
        <w:t xml:space="preserve">                 </w:t>
      </w:r>
    </w:p>
    <w:p>
      <w:pPr>
        <w:wordWrap w:val="0"/>
        <w:topLinePunct/>
        <w:rPr>
          <w:snapToGrid w:val="0"/>
          <w:highlight w:val="none"/>
        </w:rPr>
      </w:pPr>
      <w:r>
        <w:rPr>
          <w:rFonts w:hint="eastAsia"/>
          <w:snapToGrid w:val="0"/>
          <w:highlight w:val="none"/>
        </w:rPr>
        <w:br w:type="page"/>
      </w:r>
      <w:bookmarkEnd w:id="920"/>
    </w:p>
    <w:p>
      <w:pPr>
        <w:pageBreakBefore/>
        <w:numPr>
          <w:ilvl w:val="0"/>
          <w:numId w:val="21"/>
        </w:numPr>
        <w:wordWrap w:val="0"/>
        <w:topLinePunct/>
        <w:spacing w:before="120" w:beforeLines="50" w:after="120" w:afterLines="50"/>
        <w:jc w:val="center"/>
        <w:outlineLvl w:val="2"/>
        <w:rPr>
          <w:b/>
          <w:snapToGrid w:val="0"/>
          <w:sz w:val="28"/>
          <w:highlight w:val="none"/>
        </w:rPr>
      </w:pPr>
      <w:bookmarkStart w:id="921" w:name="_Toc1910"/>
      <w:bookmarkStart w:id="922" w:name="_Toc21134"/>
      <w:bookmarkStart w:id="923" w:name="_Toc2450"/>
      <w:bookmarkStart w:id="924" w:name="_Toc122"/>
      <w:bookmarkStart w:id="925" w:name="_Toc8563"/>
      <w:bookmarkStart w:id="926" w:name="_Toc32188"/>
      <w:r>
        <w:rPr>
          <w:rFonts w:hint="eastAsia"/>
          <w:b/>
          <w:snapToGrid w:val="0"/>
          <w:sz w:val="28"/>
          <w:highlight w:val="none"/>
        </w:rPr>
        <w:t>小微企业、监狱企业、残疾人福利性单位价格扣除</w:t>
      </w:r>
      <w:bookmarkEnd w:id="921"/>
      <w:bookmarkEnd w:id="922"/>
    </w:p>
    <w:p>
      <w:pPr>
        <w:pageBreakBefore/>
        <w:wordWrap w:val="0"/>
        <w:topLinePunct/>
        <w:spacing w:before="120" w:beforeLines="50" w:after="120" w:afterLines="50"/>
        <w:jc w:val="center"/>
        <w:outlineLvl w:val="3"/>
        <w:rPr>
          <w:b/>
          <w:snapToGrid w:val="0"/>
          <w:sz w:val="28"/>
          <w:highlight w:val="none"/>
        </w:rPr>
      </w:pPr>
      <w:bookmarkStart w:id="927" w:name="_Toc31618"/>
      <w:r>
        <w:rPr>
          <w:rFonts w:hint="eastAsia"/>
          <w:b/>
          <w:snapToGrid w:val="0"/>
          <w:sz w:val="28"/>
          <w:highlight w:val="none"/>
        </w:rPr>
        <w:t>(一)中小企业声明函</w:t>
      </w:r>
      <w:bookmarkEnd w:id="923"/>
      <w:r>
        <w:rPr>
          <w:rFonts w:hint="eastAsia"/>
          <w:b/>
          <w:snapToGrid w:val="0"/>
          <w:sz w:val="28"/>
          <w:highlight w:val="none"/>
        </w:rPr>
        <w:t>(货物</w:t>
      </w:r>
      <w:bookmarkEnd w:id="924"/>
      <w:bookmarkEnd w:id="925"/>
      <w:bookmarkEnd w:id="927"/>
      <w:r>
        <w:rPr>
          <w:rFonts w:hint="eastAsia"/>
          <w:b/>
          <w:snapToGrid w:val="0"/>
          <w:sz w:val="28"/>
          <w:highlight w:val="none"/>
        </w:rPr>
        <w:t>)</w:t>
      </w:r>
    </w:p>
    <w:p>
      <w:pPr>
        <w:wordWrap w:val="0"/>
        <w:topLinePunct/>
        <w:ind w:firstLine="480" w:firstLineChars="200"/>
        <w:rPr>
          <w:bCs/>
          <w:snapToGrid w:val="0"/>
          <w:highlight w:val="none"/>
        </w:rPr>
      </w:pPr>
      <w:bookmarkStart w:id="928" w:name="_Toc8055"/>
      <w:bookmarkStart w:id="929" w:name="_Toc417911732"/>
      <w:bookmarkStart w:id="930" w:name="_Toc419811733"/>
      <w:bookmarkStart w:id="931" w:name="_Toc387147344"/>
      <w:bookmarkStart w:id="932" w:name="_Toc387658050"/>
      <w:bookmarkStart w:id="933" w:name="_Toc413748654"/>
      <w:r>
        <w:rPr>
          <w:rFonts w:hint="eastAsia"/>
          <w:bCs/>
          <w:snapToGrid w:val="0"/>
          <w:highlight w:val="none"/>
        </w:rPr>
        <w:t>本公司(联合体)郑重声明，根据《政府采购促进中小企业发展管理办法》(财库﹝2020﹞46 号)的规定，本公司(联合体)参加</w:t>
      </w:r>
      <w:r>
        <w:rPr>
          <w:rFonts w:hint="eastAsia"/>
          <w:bCs/>
          <w:snapToGrid w:val="0"/>
          <w:highlight w:val="none"/>
          <w:u w:val="single"/>
        </w:rPr>
        <w:t>(单位名称)</w:t>
      </w:r>
      <w:r>
        <w:rPr>
          <w:rFonts w:hint="eastAsia"/>
          <w:bCs/>
          <w:snapToGrid w:val="0"/>
          <w:highlight w:val="none"/>
        </w:rPr>
        <w:t>的</w:t>
      </w:r>
      <w:r>
        <w:rPr>
          <w:rFonts w:hint="eastAsia"/>
          <w:bCs/>
          <w:snapToGrid w:val="0"/>
          <w:highlight w:val="none"/>
          <w:u w:val="single"/>
        </w:rPr>
        <w:t>(项目名称)</w:t>
      </w:r>
      <w:r>
        <w:rPr>
          <w:rFonts w:hint="eastAsia"/>
          <w:bCs/>
          <w:snapToGrid w:val="0"/>
          <w:highlight w:val="none"/>
        </w:rPr>
        <w:t>采购活动，提供的货物全部由符合政策要求的中小企业制造。相关企业(含联合体中的中小企业、签订分包意向协议的中小企业) 的具体情况如下：</w:t>
      </w:r>
    </w:p>
    <w:p>
      <w:pPr>
        <w:wordWrap w:val="0"/>
        <w:topLinePunct/>
        <w:ind w:firstLine="480" w:firstLineChars="200"/>
        <w:rPr>
          <w:bCs/>
          <w:snapToGrid w:val="0"/>
          <w:highlight w:val="none"/>
        </w:rPr>
      </w:pPr>
      <w:r>
        <w:rPr>
          <w:rFonts w:hint="eastAsia"/>
          <w:bCs/>
          <w:snapToGrid w:val="0"/>
          <w:highlight w:val="none"/>
        </w:rPr>
        <w:t xml:space="preserve"> </w:t>
      </w:r>
      <w:r>
        <w:rPr>
          <w:rFonts w:hint="eastAsia"/>
          <w:bCs/>
          <w:snapToGrid w:val="0"/>
          <w:highlight w:val="none"/>
          <w:u w:val="single"/>
        </w:rPr>
        <w:t>(标的名称)</w:t>
      </w:r>
      <w:r>
        <w:rPr>
          <w:rFonts w:hint="eastAsia"/>
          <w:bCs/>
          <w:snapToGrid w:val="0"/>
          <w:highlight w:val="none"/>
        </w:rPr>
        <w:t>，属于</w:t>
      </w:r>
      <w:r>
        <w:rPr>
          <w:rFonts w:hint="eastAsia"/>
          <w:bCs/>
          <w:snapToGrid w:val="0"/>
          <w:highlight w:val="none"/>
          <w:u w:val="single"/>
        </w:rPr>
        <w:t>(采购文件中明确的所属行业)</w:t>
      </w:r>
      <w:r>
        <w:rPr>
          <w:rFonts w:hint="eastAsia"/>
          <w:bCs/>
          <w:snapToGrid w:val="0"/>
          <w:highlight w:val="none"/>
        </w:rPr>
        <w:t>行业；制造商为</w:t>
      </w:r>
      <w:r>
        <w:rPr>
          <w:rFonts w:hint="eastAsia"/>
          <w:bCs/>
          <w:snapToGrid w:val="0"/>
          <w:highlight w:val="none"/>
          <w:u w:val="single"/>
        </w:rPr>
        <w:t>(企业名称)</w:t>
      </w:r>
      <w:r>
        <w:rPr>
          <w:rFonts w:hint="eastAsia"/>
          <w:bCs/>
          <w:snapToGrid w:val="0"/>
          <w:highlight w:val="none"/>
        </w:rPr>
        <w:t>，从业人员</w:t>
      </w:r>
      <w:r>
        <w:rPr>
          <w:rFonts w:hint="eastAsia"/>
          <w:bCs/>
          <w:snapToGrid w:val="0"/>
          <w:highlight w:val="none"/>
          <w:u w:val="single"/>
        </w:rPr>
        <w:t xml:space="preserve">   </w:t>
      </w:r>
      <w:r>
        <w:rPr>
          <w:rFonts w:hint="eastAsia"/>
          <w:bCs/>
          <w:snapToGrid w:val="0"/>
          <w:highlight w:val="none"/>
        </w:rPr>
        <w:t>人，营业收入为</w:t>
      </w:r>
      <w:r>
        <w:rPr>
          <w:rFonts w:hint="eastAsia"/>
          <w:bCs/>
          <w:snapToGrid w:val="0"/>
          <w:highlight w:val="none"/>
          <w:u w:val="single"/>
        </w:rPr>
        <w:t xml:space="preserve">   </w:t>
      </w:r>
      <w:r>
        <w:rPr>
          <w:rFonts w:hint="eastAsia"/>
          <w:bCs/>
          <w:snapToGrid w:val="0"/>
          <w:highlight w:val="none"/>
        </w:rPr>
        <w:tab/>
      </w:r>
      <w:r>
        <w:rPr>
          <w:rFonts w:hint="eastAsia"/>
          <w:bCs/>
          <w:snapToGrid w:val="0"/>
          <w:highlight w:val="none"/>
        </w:rPr>
        <w:t>万元，资产总额为</w:t>
      </w:r>
      <w:r>
        <w:rPr>
          <w:rFonts w:hint="eastAsia"/>
          <w:bCs/>
          <w:snapToGrid w:val="0"/>
          <w:highlight w:val="none"/>
          <w:u w:val="single"/>
        </w:rPr>
        <w:t xml:space="preserve">   </w:t>
      </w:r>
      <w:r>
        <w:rPr>
          <w:rFonts w:hint="eastAsia"/>
          <w:bCs/>
          <w:snapToGrid w:val="0"/>
          <w:highlight w:val="none"/>
        </w:rPr>
        <w:tab/>
      </w:r>
      <w:r>
        <w:rPr>
          <w:rFonts w:hint="eastAsia"/>
          <w:bCs/>
          <w:snapToGrid w:val="0"/>
          <w:highlight w:val="none"/>
        </w:rPr>
        <w:t>万元，属于</w:t>
      </w:r>
      <w:r>
        <w:rPr>
          <w:rFonts w:hint="eastAsia"/>
          <w:bCs/>
          <w:snapToGrid w:val="0"/>
          <w:highlight w:val="none"/>
          <w:u w:val="single"/>
        </w:rPr>
        <w:t>(中型企业、小型企业、微型企业)</w:t>
      </w:r>
      <w:r>
        <w:rPr>
          <w:rFonts w:hint="eastAsia"/>
          <w:bCs/>
          <w:snapToGrid w:val="0"/>
          <w:highlight w:val="none"/>
        </w:rPr>
        <w:t>；</w:t>
      </w:r>
    </w:p>
    <w:p>
      <w:pPr>
        <w:wordWrap w:val="0"/>
        <w:topLinePunct/>
        <w:ind w:firstLine="480" w:firstLineChars="200"/>
        <w:rPr>
          <w:bCs/>
          <w:snapToGrid w:val="0"/>
          <w:highlight w:val="none"/>
        </w:rPr>
      </w:pPr>
      <w:r>
        <w:rPr>
          <w:rFonts w:hint="eastAsia"/>
          <w:bCs/>
          <w:snapToGrid w:val="0"/>
          <w:highlight w:val="none"/>
        </w:rPr>
        <w:t xml:space="preserve"> </w:t>
      </w:r>
      <w:r>
        <w:rPr>
          <w:rFonts w:hint="eastAsia"/>
          <w:bCs/>
          <w:snapToGrid w:val="0"/>
          <w:highlight w:val="none"/>
          <w:u w:val="single"/>
        </w:rPr>
        <w:t>(标的名称)</w:t>
      </w:r>
      <w:r>
        <w:rPr>
          <w:rFonts w:hint="eastAsia"/>
          <w:bCs/>
          <w:snapToGrid w:val="0"/>
          <w:highlight w:val="none"/>
        </w:rPr>
        <w:t>， 属于</w:t>
      </w:r>
      <w:r>
        <w:rPr>
          <w:rFonts w:hint="eastAsia"/>
          <w:bCs/>
          <w:snapToGrid w:val="0"/>
          <w:highlight w:val="none"/>
          <w:u w:val="single"/>
        </w:rPr>
        <w:t>(采购文件中明确的所属行业)</w:t>
      </w:r>
      <w:r>
        <w:rPr>
          <w:rFonts w:hint="eastAsia"/>
          <w:bCs/>
          <w:snapToGrid w:val="0"/>
          <w:highlight w:val="none"/>
        </w:rPr>
        <w:t>行业；制造商为</w:t>
      </w:r>
      <w:r>
        <w:rPr>
          <w:rFonts w:hint="eastAsia"/>
          <w:bCs/>
          <w:snapToGrid w:val="0"/>
          <w:highlight w:val="none"/>
          <w:u w:val="single"/>
        </w:rPr>
        <w:t>(企业名称)</w:t>
      </w:r>
      <w:r>
        <w:rPr>
          <w:rFonts w:hint="eastAsia"/>
          <w:bCs/>
          <w:snapToGrid w:val="0"/>
          <w:highlight w:val="none"/>
        </w:rPr>
        <w:t>，从业人员</w:t>
      </w:r>
      <w:r>
        <w:rPr>
          <w:rFonts w:hint="eastAsia"/>
          <w:bCs/>
          <w:snapToGrid w:val="0"/>
          <w:highlight w:val="none"/>
        </w:rPr>
        <w:tab/>
      </w:r>
      <w:r>
        <w:rPr>
          <w:rFonts w:hint="eastAsia"/>
          <w:bCs/>
          <w:snapToGrid w:val="0"/>
          <w:highlight w:val="none"/>
          <w:u w:val="single"/>
        </w:rPr>
        <w:t xml:space="preserve">   </w:t>
      </w:r>
      <w:r>
        <w:rPr>
          <w:rFonts w:hint="eastAsia"/>
          <w:bCs/>
          <w:snapToGrid w:val="0"/>
          <w:highlight w:val="none"/>
        </w:rPr>
        <w:t>人，营业收入为</w:t>
      </w:r>
      <w:r>
        <w:rPr>
          <w:rFonts w:hint="eastAsia"/>
          <w:bCs/>
          <w:snapToGrid w:val="0"/>
          <w:highlight w:val="none"/>
        </w:rPr>
        <w:tab/>
      </w:r>
      <w:r>
        <w:rPr>
          <w:rFonts w:hint="eastAsia"/>
          <w:bCs/>
          <w:snapToGrid w:val="0"/>
          <w:highlight w:val="none"/>
          <w:u w:val="single"/>
        </w:rPr>
        <w:t xml:space="preserve">   </w:t>
      </w:r>
      <w:r>
        <w:rPr>
          <w:rFonts w:hint="eastAsia"/>
          <w:bCs/>
          <w:snapToGrid w:val="0"/>
          <w:highlight w:val="none"/>
        </w:rPr>
        <w:t>万元，资产总额为</w:t>
      </w:r>
      <w:r>
        <w:rPr>
          <w:rFonts w:hint="eastAsia"/>
          <w:bCs/>
          <w:snapToGrid w:val="0"/>
          <w:highlight w:val="none"/>
          <w:u w:val="single"/>
        </w:rPr>
        <w:t xml:space="preserve">   </w:t>
      </w:r>
      <w:r>
        <w:rPr>
          <w:rFonts w:hint="eastAsia"/>
          <w:bCs/>
          <w:snapToGrid w:val="0"/>
          <w:highlight w:val="none"/>
        </w:rPr>
        <w:tab/>
      </w:r>
      <w:r>
        <w:rPr>
          <w:rFonts w:hint="eastAsia"/>
          <w:bCs/>
          <w:snapToGrid w:val="0"/>
          <w:highlight w:val="none"/>
        </w:rPr>
        <w:t>万元，属于</w:t>
      </w:r>
      <w:r>
        <w:rPr>
          <w:rFonts w:hint="eastAsia"/>
          <w:bCs/>
          <w:snapToGrid w:val="0"/>
          <w:highlight w:val="none"/>
          <w:u w:val="single"/>
        </w:rPr>
        <w:t>(中型企业、小型企业、微型企业)</w:t>
      </w:r>
      <w:r>
        <w:rPr>
          <w:rFonts w:hint="eastAsia"/>
          <w:bCs/>
          <w:snapToGrid w:val="0"/>
          <w:highlight w:val="none"/>
        </w:rPr>
        <w:t>；</w:t>
      </w:r>
    </w:p>
    <w:p>
      <w:pPr>
        <w:wordWrap w:val="0"/>
        <w:topLinePunct/>
        <w:ind w:firstLine="480" w:firstLineChars="200"/>
        <w:rPr>
          <w:bCs/>
          <w:snapToGrid w:val="0"/>
          <w:highlight w:val="none"/>
        </w:rPr>
      </w:pPr>
      <w:r>
        <w:rPr>
          <w:rFonts w:hint="eastAsia"/>
          <w:bCs/>
          <w:snapToGrid w:val="0"/>
          <w:highlight w:val="none"/>
        </w:rPr>
        <w:t>……</w:t>
      </w:r>
    </w:p>
    <w:p>
      <w:pPr>
        <w:wordWrap w:val="0"/>
        <w:topLinePunct/>
        <w:ind w:firstLine="480" w:firstLineChars="200"/>
        <w:rPr>
          <w:bCs/>
          <w:snapToGrid w:val="0"/>
          <w:highlight w:val="none"/>
        </w:rPr>
      </w:pPr>
      <w:r>
        <w:rPr>
          <w:rFonts w:hint="eastAsia"/>
          <w:bCs/>
          <w:snapToGrid w:val="0"/>
          <w:highlight w:val="none"/>
        </w:rPr>
        <w:t>以上企业，不属于大企业的分支机构，不存在控股股东为大企业的情形，也不存在与大企业的负责人为同一人的情形。</w:t>
      </w:r>
    </w:p>
    <w:p>
      <w:pPr>
        <w:wordWrap w:val="0"/>
        <w:topLinePunct/>
        <w:ind w:firstLine="480" w:firstLineChars="200"/>
        <w:rPr>
          <w:bCs/>
          <w:snapToGrid w:val="0"/>
          <w:highlight w:val="none"/>
        </w:rPr>
      </w:pPr>
      <w:r>
        <w:rPr>
          <w:rFonts w:hint="eastAsia"/>
          <w:bCs/>
          <w:snapToGrid w:val="0"/>
          <w:highlight w:val="none"/>
        </w:rPr>
        <w:t>本企业对上述声明内容的真实性负责。如有虚假，将依法承担相应责任。</w:t>
      </w:r>
    </w:p>
    <w:p>
      <w:pPr>
        <w:wordWrap w:val="0"/>
        <w:topLinePunct/>
        <w:rPr>
          <w:snapToGrid w:val="0"/>
          <w:highlight w:val="none"/>
        </w:rPr>
      </w:pPr>
    </w:p>
    <w:p>
      <w:pPr>
        <w:wordWrap w:val="0"/>
        <w:topLinePunct/>
        <w:ind w:left="4800" w:leftChars="2000"/>
        <w:rPr>
          <w:snapToGrid w:val="0"/>
          <w:highlight w:val="none"/>
        </w:rPr>
      </w:pPr>
      <w:r>
        <w:rPr>
          <w:rFonts w:hint="eastAsia"/>
          <w:snapToGrid w:val="0"/>
          <w:highlight w:val="none"/>
        </w:rPr>
        <w:t>企业名称(盖章)：</w:t>
      </w:r>
      <w:r>
        <w:rPr>
          <w:rFonts w:hint="eastAsia"/>
          <w:snapToGrid w:val="0"/>
          <w:highlight w:val="none"/>
          <w:u w:val="single"/>
        </w:rPr>
        <w:t xml:space="preserve">        </w:t>
      </w:r>
    </w:p>
    <w:p>
      <w:pPr>
        <w:wordWrap w:val="0"/>
        <w:topLinePunct/>
        <w:ind w:left="4800" w:leftChars="2000"/>
        <w:rPr>
          <w:snapToGrid w:val="0"/>
          <w:highlight w:val="none"/>
        </w:rPr>
      </w:pPr>
      <w:r>
        <w:rPr>
          <w:rFonts w:hint="eastAsia"/>
          <w:snapToGrid w:val="0"/>
          <w:highlight w:val="none"/>
        </w:rPr>
        <w:t>日期：</w:t>
      </w:r>
      <w:r>
        <w:rPr>
          <w:rFonts w:hint="eastAsia"/>
          <w:snapToGrid w:val="0"/>
          <w:highlight w:val="none"/>
          <w:u w:val="single"/>
        </w:rPr>
        <w:t xml:space="preserve">        </w:t>
      </w:r>
      <w:r>
        <w:rPr>
          <w:rFonts w:hint="eastAsia"/>
          <w:snapToGrid w:val="0"/>
          <w:highlight w:val="none"/>
        </w:rPr>
        <w:t xml:space="preserve">           　</w:t>
      </w:r>
    </w:p>
    <w:p>
      <w:pPr>
        <w:wordWrap w:val="0"/>
        <w:topLinePunct/>
        <w:ind w:firstLine="482" w:firstLineChars="200"/>
        <w:rPr>
          <w:b/>
          <w:snapToGrid w:val="0"/>
          <w:highlight w:val="none"/>
        </w:rPr>
      </w:pPr>
    </w:p>
    <w:p>
      <w:pPr>
        <w:wordWrap w:val="0"/>
        <w:topLinePunct/>
        <w:ind w:firstLine="482" w:firstLineChars="200"/>
        <w:rPr>
          <w:b/>
          <w:snapToGrid w:val="0"/>
          <w:highlight w:val="none"/>
        </w:rPr>
      </w:pPr>
      <w:r>
        <w:rPr>
          <w:rFonts w:hint="eastAsia"/>
          <w:b/>
          <w:snapToGrid w:val="0"/>
          <w:highlight w:val="none"/>
        </w:rPr>
        <w:t>注：从业人员、营业收入、资产总额填报上一年度数据，无上一年度数据的新成立企业可不填报。</w:t>
      </w:r>
      <w:r>
        <w:rPr>
          <w:rFonts w:hint="eastAsia"/>
          <w:b/>
          <w:snapToGrid w:val="0"/>
          <w:highlight w:val="none"/>
        </w:rPr>
        <w:br w:type="page"/>
      </w:r>
    </w:p>
    <w:p>
      <w:pPr>
        <w:pageBreakBefore/>
        <w:wordWrap w:val="0"/>
        <w:topLinePunct/>
        <w:spacing w:before="120" w:beforeLines="50" w:after="120" w:afterLines="50"/>
        <w:jc w:val="center"/>
        <w:outlineLvl w:val="3"/>
        <w:rPr>
          <w:b/>
          <w:snapToGrid w:val="0"/>
          <w:sz w:val="28"/>
          <w:highlight w:val="none"/>
        </w:rPr>
      </w:pPr>
      <w:bookmarkStart w:id="934" w:name="_Toc11278"/>
      <w:bookmarkStart w:id="935" w:name="_Toc4657"/>
      <w:bookmarkStart w:id="936" w:name="_Toc26771"/>
      <w:bookmarkStart w:id="937" w:name="_Toc30256"/>
      <w:r>
        <w:rPr>
          <w:rFonts w:hint="eastAsia"/>
          <w:b/>
          <w:snapToGrid w:val="0"/>
          <w:sz w:val="28"/>
          <w:highlight w:val="none"/>
        </w:rPr>
        <w:t>(二)监狱企业相关证明材料</w:t>
      </w:r>
      <w:bookmarkEnd w:id="928"/>
      <w:r>
        <w:rPr>
          <w:rFonts w:hint="eastAsia"/>
          <w:b/>
          <w:snapToGrid w:val="0"/>
          <w:sz w:val="28"/>
          <w:highlight w:val="none"/>
        </w:rPr>
        <w:t>(如涉及</w:t>
      </w:r>
      <w:bookmarkEnd w:id="934"/>
      <w:r>
        <w:rPr>
          <w:rFonts w:hint="eastAsia"/>
          <w:b/>
          <w:snapToGrid w:val="0"/>
          <w:sz w:val="28"/>
          <w:highlight w:val="none"/>
        </w:rPr>
        <w:t>)</w:t>
      </w:r>
      <w:bookmarkEnd w:id="935"/>
      <w:bookmarkEnd w:id="936"/>
      <w:bookmarkEnd w:id="937"/>
    </w:p>
    <w:p>
      <w:pPr>
        <w:wordWrap w:val="0"/>
        <w:topLinePunct/>
        <w:ind w:firstLine="482" w:firstLineChars="200"/>
        <w:rPr>
          <w:b/>
          <w:snapToGrid w:val="0"/>
          <w:highlight w:val="none"/>
        </w:rPr>
      </w:pPr>
      <w:r>
        <w:rPr>
          <w:rFonts w:hint="eastAsia"/>
          <w:b/>
          <w:snapToGrid w:val="0"/>
          <w:highlight w:val="none"/>
        </w:rPr>
        <w:t>说明：①监狱企业参加政府采购活动时，应当提供由省级以上监狱管理局、戒毒管理局(含新疆生产建设兵团)出具的属于监狱企业的证明文件。</w:t>
      </w:r>
    </w:p>
    <w:p>
      <w:pPr>
        <w:wordWrap w:val="0"/>
        <w:topLinePunct/>
        <w:ind w:firstLine="482" w:firstLineChars="200"/>
        <w:rPr>
          <w:b/>
          <w:snapToGrid w:val="0"/>
          <w:highlight w:val="none"/>
        </w:rPr>
      </w:pPr>
      <w:r>
        <w:rPr>
          <w:rFonts w:hint="eastAsia"/>
          <w:b/>
          <w:snapToGrid w:val="0"/>
          <w:highlight w:val="none"/>
        </w:rPr>
        <w:t>②如未提供监狱企业相关证明材料的，则其评审中的监狱企业不能享受招标文件规定的价格扣除，但不影响投标文件的有效性。</w:t>
      </w:r>
    </w:p>
    <w:p>
      <w:pPr>
        <w:wordWrap w:val="0"/>
        <w:topLinePunct/>
        <w:ind w:firstLine="482" w:firstLineChars="200"/>
        <w:rPr>
          <w:b/>
          <w:snapToGrid w:val="0"/>
          <w:highlight w:val="none"/>
        </w:rPr>
      </w:pPr>
      <w:r>
        <w:rPr>
          <w:rFonts w:hint="eastAsia"/>
          <w:b/>
          <w:snapToGrid w:val="0"/>
          <w:highlight w:val="none"/>
        </w:rPr>
        <w:t>③非监狱企业无需提供证明材料。</w:t>
      </w:r>
    </w:p>
    <w:p>
      <w:pPr>
        <w:wordWrap w:val="0"/>
        <w:topLinePunct/>
        <w:rPr>
          <w:snapToGrid w:val="0"/>
          <w:highlight w:val="none"/>
        </w:rPr>
      </w:pPr>
      <w:r>
        <w:rPr>
          <w:rFonts w:hint="eastAsia"/>
          <w:snapToGrid w:val="0"/>
          <w:highlight w:val="none"/>
        </w:rPr>
        <w:br w:type="page"/>
      </w:r>
    </w:p>
    <w:p>
      <w:pPr>
        <w:pageBreakBefore/>
        <w:wordWrap w:val="0"/>
        <w:topLinePunct/>
        <w:spacing w:before="120" w:beforeLines="50" w:after="120" w:afterLines="50"/>
        <w:jc w:val="center"/>
        <w:outlineLvl w:val="3"/>
        <w:rPr>
          <w:b/>
          <w:snapToGrid w:val="0"/>
          <w:sz w:val="28"/>
          <w:highlight w:val="none"/>
        </w:rPr>
      </w:pPr>
      <w:bookmarkStart w:id="938" w:name="_Toc7140"/>
      <w:bookmarkStart w:id="939" w:name="_Toc30301"/>
      <w:bookmarkStart w:id="940" w:name="_Toc18157"/>
      <w:bookmarkStart w:id="941" w:name="_Toc27384"/>
      <w:r>
        <w:rPr>
          <w:rFonts w:hint="eastAsia"/>
          <w:b/>
          <w:snapToGrid w:val="0"/>
          <w:sz w:val="28"/>
          <w:highlight w:val="none"/>
        </w:rPr>
        <w:t>(三)残疾人福利性单位声明函(如涉及</w:t>
      </w:r>
      <w:bookmarkEnd w:id="938"/>
      <w:r>
        <w:rPr>
          <w:rFonts w:hint="eastAsia"/>
          <w:b/>
          <w:snapToGrid w:val="0"/>
          <w:sz w:val="28"/>
          <w:highlight w:val="none"/>
        </w:rPr>
        <w:t>)</w:t>
      </w:r>
      <w:bookmarkEnd w:id="939"/>
      <w:bookmarkEnd w:id="940"/>
      <w:bookmarkEnd w:id="941"/>
    </w:p>
    <w:p>
      <w:pPr>
        <w:wordWrap w:val="0"/>
        <w:topLinePunct/>
        <w:ind w:firstLine="480" w:firstLineChars="200"/>
        <w:rPr>
          <w:highlight w:val="none"/>
        </w:rPr>
      </w:pPr>
      <w:r>
        <w:rPr>
          <w:rFonts w:hint="eastAsia"/>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highlight w:val="none"/>
          <w:u w:val="single"/>
        </w:rPr>
        <w:t xml:space="preserve">        </w:t>
      </w:r>
      <w:r>
        <w:rPr>
          <w:rFonts w:hint="eastAsia"/>
          <w:highlight w:val="none"/>
        </w:rPr>
        <w:t>单位的</w:t>
      </w:r>
      <w:r>
        <w:rPr>
          <w:rFonts w:hint="eastAsia" w:asciiTheme="minorEastAsia" w:hAnsiTheme="minorEastAsia" w:eastAsiaTheme="minorEastAsia" w:cstheme="minorEastAsia"/>
          <w:highlight w:val="none"/>
          <w:u w:val="single"/>
        </w:rPr>
        <w:t xml:space="preserve">        </w:t>
      </w:r>
      <w:r>
        <w:rPr>
          <w:rFonts w:hint="eastAsia"/>
          <w:highlight w:val="none"/>
        </w:rPr>
        <w:t>项目采购活动提供本单位制造的货物，或者提供其他残疾人福利性单位制造的货物(不包括使用非残疾人福利性单位注册商标的货物)。</w:t>
      </w:r>
    </w:p>
    <w:p>
      <w:pPr>
        <w:wordWrap w:val="0"/>
        <w:topLinePunct/>
        <w:ind w:firstLine="480" w:firstLineChars="200"/>
        <w:rPr>
          <w:highlight w:val="none"/>
        </w:rPr>
      </w:pPr>
      <w:r>
        <w:rPr>
          <w:rFonts w:hint="eastAsia"/>
          <w:highlight w:val="none"/>
        </w:rPr>
        <w:t>本单位对上述声明的真实性负责。如有虚假，将依法承担相应责任。</w:t>
      </w:r>
    </w:p>
    <w:p>
      <w:pPr>
        <w:wordWrap w:val="0"/>
        <w:topLinePunct/>
        <w:rPr>
          <w:snapToGrid w:val="0"/>
          <w:highlight w:val="none"/>
        </w:rPr>
      </w:pPr>
    </w:p>
    <w:p>
      <w:pPr>
        <w:wordWrap w:val="0"/>
        <w:topLinePunct/>
        <w:rPr>
          <w:snapToGrid w:val="0"/>
          <w:highlight w:val="none"/>
        </w:rPr>
      </w:pPr>
    </w:p>
    <w:p>
      <w:pPr>
        <w:wordWrap w:val="0"/>
        <w:topLinePunct/>
        <w:rPr>
          <w:snapToGrid w:val="0"/>
          <w:highlight w:val="none"/>
        </w:rPr>
      </w:pPr>
    </w:p>
    <w:p>
      <w:pPr>
        <w:wordWrap w:val="0"/>
        <w:topLinePunct/>
        <w:ind w:left="4800" w:leftChars="2000"/>
        <w:rPr>
          <w:snapToGrid w:val="0"/>
          <w:highlight w:val="none"/>
        </w:rPr>
      </w:pPr>
      <w:r>
        <w:rPr>
          <w:rFonts w:hint="eastAsia"/>
          <w:snapToGrid w:val="0"/>
          <w:highlight w:val="none"/>
        </w:rPr>
        <w:t>单位名称：</w:t>
      </w:r>
      <w:r>
        <w:rPr>
          <w:rFonts w:hint="eastAsia"/>
          <w:snapToGrid w:val="0"/>
          <w:highlight w:val="none"/>
          <w:u w:val="single"/>
        </w:rPr>
        <w:t xml:space="preserve">             </w:t>
      </w:r>
      <w:r>
        <w:rPr>
          <w:rFonts w:hint="eastAsia"/>
          <w:snapToGrid w:val="0"/>
          <w:highlight w:val="none"/>
        </w:rPr>
        <w:t xml:space="preserve"> (盖章)</w:t>
      </w:r>
    </w:p>
    <w:p>
      <w:pPr>
        <w:wordWrap w:val="0"/>
        <w:topLinePunct/>
        <w:ind w:left="4800" w:leftChars="2000"/>
        <w:rPr>
          <w:snapToGrid w:val="0"/>
          <w:highlight w:val="none"/>
        </w:rPr>
      </w:pPr>
      <w:r>
        <w:rPr>
          <w:rFonts w:hint="eastAsia"/>
          <w:snapToGrid w:val="0"/>
          <w:highlight w:val="none"/>
        </w:rPr>
        <w:t>日    期：</w:t>
      </w:r>
      <w:r>
        <w:rPr>
          <w:rFonts w:hint="eastAsia"/>
          <w:snapToGrid w:val="0"/>
          <w:highlight w:val="none"/>
          <w:u w:val="single"/>
        </w:rPr>
        <w:t xml:space="preserve">             </w:t>
      </w:r>
      <w:r>
        <w:rPr>
          <w:rFonts w:hint="eastAsia"/>
          <w:snapToGrid w:val="0"/>
          <w:highlight w:val="none"/>
        </w:rPr>
        <w:t xml:space="preserve">   </w:t>
      </w:r>
      <w:bookmarkEnd w:id="929"/>
      <w:bookmarkEnd w:id="930"/>
      <w:bookmarkEnd w:id="931"/>
      <w:bookmarkEnd w:id="932"/>
      <w:bookmarkEnd w:id="933"/>
    </w:p>
    <w:p>
      <w:pPr>
        <w:wordWrap w:val="0"/>
        <w:topLinePunct/>
        <w:ind w:firstLine="482" w:firstLineChars="200"/>
        <w:rPr>
          <w:b/>
          <w:snapToGrid w:val="0"/>
          <w:highlight w:val="none"/>
        </w:rPr>
      </w:pPr>
    </w:p>
    <w:p>
      <w:pPr>
        <w:wordWrap w:val="0"/>
        <w:topLinePunct/>
        <w:ind w:firstLine="482" w:firstLineChars="200"/>
        <w:rPr>
          <w:b/>
          <w:snapToGrid w:val="0"/>
          <w:highlight w:val="none"/>
        </w:rPr>
      </w:pPr>
    </w:p>
    <w:p>
      <w:pPr>
        <w:wordWrap w:val="0"/>
        <w:topLinePunct/>
        <w:ind w:firstLine="482" w:firstLineChars="200"/>
        <w:rPr>
          <w:b/>
          <w:snapToGrid w:val="0"/>
          <w:highlight w:val="none"/>
        </w:rPr>
      </w:pPr>
      <w:r>
        <w:rPr>
          <w:rFonts w:hint="eastAsia"/>
          <w:b/>
          <w:snapToGrid w:val="0"/>
          <w:highlight w:val="none"/>
        </w:rPr>
        <w:t>说明：</w:t>
      </w:r>
      <w:r>
        <w:rPr>
          <w:rFonts w:hint="eastAsia"/>
          <w:b/>
          <w:snapToGrid w:val="0"/>
          <w:highlight w:val="none"/>
        </w:rPr>
        <w:fldChar w:fldCharType="begin"/>
      </w:r>
      <w:r>
        <w:rPr>
          <w:rFonts w:hint="eastAsia"/>
          <w:b/>
          <w:snapToGrid w:val="0"/>
          <w:highlight w:val="none"/>
        </w:rPr>
        <w:instrText xml:space="preserve"> = 1 \* GB3 \* MERGEFORMAT </w:instrText>
      </w:r>
      <w:r>
        <w:rPr>
          <w:rFonts w:hint="eastAsia"/>
          <w:b/>
          <w:snapToGrid w:val="0"/>
          <w:highlight w:val="none"/>
        </w:rPr>
        <w:fldChar w:fldCharType="separate"/>
      </w:r>
      <w:r>
        <w:rPr>
          <w:rFonts w:hint="eastAsia"/>
          <w:b/>
          <w:snapToGrid w:val="0"/>
          <w:highlight w:val="none"/>
        </w:rPr>
        <w:t>①</w:t>
      </w:r>
      <w:r>
        <w:rPr>
          <w:rFonts w:hint="eastAsia"/>
          <w:b/>
          <w:snapToGrid w:val="0"/>
          <w:highlight w:val="none"/>
        </w:rPr>
        <w:fldChar w:fldCharType="end"/>
      </w:r>
      <w:r>
        <w:rPr>
          <w:rFonts w:hint="eastAsia"/>
          <w:b/>
          <w:snapToGrid w:val="0"/>
          <w:highlight w:val="none"/>
        </w:rPr>
        <w:t>如未提供残疾人福利性单位声明函的，则其评审中的残疾人福利性单位不能享受招标文件规定的价格扣除。非残疾人福利性单位，不需提供此声明函，不影响投标文件的有效性。</w:t>
      </w:r>
    </w:p>
    <w:p>
      <w:pPr>
        <w:wordWrap w:val="0"/>
        <w:topLinePunct/>
        <w:ind w:firstLine="482" w:firstLineChars="200"/>
        <w:rPr>
          <w:b/>
          <w:snapToGrid w:val="0"/>
          <w:highlight w:val="none"/>
        </w:rPr>
      </w:pPr>
      <w:r>
        <w:rPr>
          <w:rFonts w:hint="eastAsia"/>
          <w:b/>
          <w:snapToGrid w:val="0"/>
          <w:highlight w:val="none"/>
        </w:rPr>
        <w:fldChar w:fldCharType="begin"/>
      </w:r>
      <w:r>
        <w:rPr>
          <w:rFonts w:hint="eastAsia"/>
          <w:b/>
          <w:snapToGrid w:val="0"/>
          <w:highlight w:val="none"/>
        </w:rPr>
        <w:instrText xml:space="preserve"> = 2 \* GB3 \* MERGEFORMAT </w:instrText>
      </w:r>
      <w:r>
        <w:rPr>
          <w:rFonts w:hint="eastAsia"/>
          <w:b/>
          <w:snapToGrid w:val="0"/>
          <w:highlight w:val="none"/>
        </w:rPr>
        <w:fldChar w:fldCharType="separate"/>
      </w:r>
      <w:r>
        <w:rPr>
          <w:rFonts w:hint="eastAsia"/>
          <w:b/>
          <w:snapToGrid w:val="0"/>
          <w:highlight w:val="none"/>
        </w:rPr>
        <w:t>②</w:t>
      </w:r>
      <w:r>
        <w:rPr>
          <w:rFonts w:hint="eastAsia"/>
          <w:b/>
          <w:snapToGrid w:val="0"/>
          <w:highlight w:val="none"/>
        </w:rPr>
        <w:fldChar w:fldCharType="end"/>
      </w:r>
      <w:r>
        <w:rPr>
          <w:rFonts w:hint="eastAsia"/>
          <w:b/>
          <w:snapToGrid w:val="0"/>
          <w:highlight w:val="none"/>
        </w:rPr>
        <w:t>投标人参加政府采购活动时，提供虚假残疾人福利性单位声明函的，以提供虚假材料谋取中标处理。</w:t>
      </w:r>
    </w:p>
    <w:p>
      <w:pPr>
        <w:wordWrap w:val="0"/>
        <w:topLinePunct/>
        <w:ind w:firstLine="482" w:firstLineChars="200"/>
        <w:rPr>
          <w:b/>
          <w:snapToGrid w:val="0"/>
          <w:highlight w:val="none"/>
        </w:rPr>
      </w:pPr>
    </w:p>
    <w:p>
      <w:pPr>
        <w:pageBreakBefore/>
        <w:numPr>
          <w:ilvl w:val="0"/>
          <w:numId w:val="19"/>
        </w:numPr>
        <w:wordWrap w:val="0"/>
        <w:topLinePunct/>
        <w:spacing w:before="120" w:beforeLines="50" w:after="120" w:afterLines="50"/>
        <w:jc w:val="center"/>
        <w:outlineLvl w:val="2"/>
        <w:rPr>
          <w:b/>
          <w:snapToGrid w:val="0"/>
          <w:sz w:val="28"/>
          <w:highlight w:val="none"/>
        </w:rPr>
      </w:pPr>
      <w:bookmarkStart w:id="942" w:name="_Toc8366"/>
      <w:bookmarkStart w:id="943" w:name="_Toc1173"/>
      <w:r>
        <w:rPr>
          <w:rFonts w:hint="eastAsia"/>
          <w:b/>
          <w:snapToGrid w:val="0"/>
          <w:sz w:val="28"/>
          <w:highlight w:val="none"/>
        </w:rPr>
        <w:t>商品包装、快递包装承诺函</w:t>
      </w:r>
      <w:bookmarkEnd w:id="942"/>
      <w:bookmarkEnd w:id="943"/>
    </w:p>
    <w:p>
      <w:pPr>
        <w:rPr>
          <w:highlight w:val="none"/>
        </w:rPr>
      </w:pPr>
      <w:r>
        <w:rPr>
          <w:rFonts w:hint="eastAsia"/>
          <w:highlight w:val="none"/>
        </w:rPr>
        <w:t>四川乾新招投标代理有限公司：</w:t>
      </w:r>
    </w:p>
    <w:p>
      <w:pPr>
        <w:ind w:firstLine="480" w:firstLineChars="200"/>
        <w:rPr>
          <w:highlight w:val="none"/>
        </w:rPr>
      </w:pPr>
      <w:r>
        <w:rPr>
          <w:rFonts w:hint="eastAsia"/>
          <w:highlight w:val="none"/>
        </w:rPr>
        <w:t>我公司作为本次采购项目的投标人，根据招标文件要求，现郑重承诺如下：</w:t>
      </w:r>
    </w:p>
    <w:p>
      <w:pPr>
        <w:ind w:firstLine="480" w:firstLineChars="200"/>
        <w:rPr>
          <w:highlight w:val="none"/>
        </w:rPr>
      </w:pPr>
      <w:r>
        <w:rPr>
          <w:rFonts w:hint="eastAsia"/>
          <w:highlight w:val="none"/>
        </w:rPr>
        <w:t>我方承诺，根据财政部等三部门联合印发商品包装和快递包装政府采购需求标准(试行)财库办〔2020〕123号文要求，若我方提供的货物、服务、工程涉及商品包装和快递包装的，将按照标准要求执行。</w:t>
      </w:r>
    </w:p>
    <w:p>
      <w:pPr>
        <w:ind w:firstLine="480" w:firstLineChars="200"/>
        <w:rPr>
          <w:highlight w:val="none"/>
        </w:rPr>
      </w:pPr>
      <w:r>
        <w:rPr>
          <w:rFonts w:hint="eastAsia"/>
          <w:highlight w:val="none"/>
        </w:rPr>
        <w:t>本公司对上述承诺的内容事项真实性负责。如经查实上述承诺的内容事项存在虚假，我公司愿意接受以提供虚假材料谋取中标追究法律责任。</w:t>
      </w:r>
    </w:p>
    <w:p>
      <w:pPr>
        <w:ind w:firstLine="480" w:firstLineChars="200"/>
        <w:rPr>
          <w:highlight w:val="none"/>
        </w:rPr>
      </w:pPr>
      <w:r>
        <w:rPr>
          <w:rFonts w:hint="eastAsia"/>
          <w:highlight w:val="none"/>
        </w:rPr>
        <w:t>注：《商品包装政府采购需求标准(试行)》、《快递包装政府采购需求标准(试行)》的标准详见中国政府采购网。</w:t>
      </w:r>
    </w:p>
    <w:p>
      <w:pPr>
        <w:rPr>
          <w:highlight w:val="none"/>
        </w:rPr>
      </w:pPr>
      <w:r>
        <w:rPr>
          <w:rFonts w:hint="eastAsia"/>
          <w:highlight w:val="none"/>
        </w:rPr>
        <w:t> </w:t>
      </w:r>
    </w:p>
    <w:p>
      <w:pPr>
        <w:wordWrap w:val="0"/>
        <w:topLinePunct/>
        <w:ind w:firstLine="480" w:firstLineChars="200"/>
        <w:rPr>
          <w:rFonts w:hint="default" w:eastAsia="宋体"/>
          <w:highlight w:val="none"/>
          <w:lang w:val="en-US" w:eastAsia="zh-CN"/>
        </w:rPr>
      </w:pPr>
      <w:r>
        <w:rPr>
          <w:rFonts w:hint="eastAsia"/>
          <w:highlight w:val="none"/>
        </w:rPr>
        <w:t>投标人名称：</w:t>
      </w:r>
      <w:r>
        <w:rPr>
          <w:rFonts w:hint="eastAsia"/>
          <w:highlight w:val="none"/>
          <w:u w:val="single"/>
        </w:rPr>
        <w:t xml:space="preserve">              </w:t>
      </w:r>
      <w:r>
        <w:rPr>
          <w:rFonts w:hint="eastAsia"/>
          <w:highlight w:val="none"/>
          <w:u w:val="single"/>
          <w:lang w:val="en-US" w:eastAsia="zh-CN"/>
        </w:rPr>
        <w:t xml:space="preserve">  </w:t>
      </w:r>
    </w:p>
    <w:p>
      <w:pPr>
        <w:wordWrap w:val="0"/>
        <w:topLinePunct/>
        <w:ind w:firstLine="480" w:firstLineChars="200"/>
        <w:rPr>
          <w:highlight w:val="none"/>
        </w:rPr>
      </w:pPr>
      <w:r>
        <w:rPr>
          <w:rFonts w:hint="eastAsia"/>
          <w:highlight w:val="none"/>
        </w:rPr>
        <w:t>投标日期：</w:t>
      </w:r>
      <w:r>
        <w:rPr>
          <w:rFonts w:hint="eastAsia"/>
          <w:highlight w:val="none"/>
          <w:u w:val="single"/>
        </w:rPr>
        <w:t xml:space="preserve">                  </w:t>
      </w:r>
    </w:p>
    <w:p>
      <w:pPr>
        <w:pageBreakBefore/>
        <w:numPr>
          <w:ilvl w:val="0"/>
          <w:numId w:val="19"/>
        </w:numPr>
        <w:wordWrap w:val="0"/>
        <w:topLinePunct/>
        <w:spacing w:before="120" w:beforeLines="50" w:after="120" w:afterLines="50"/>
        <w:jc w:val="center"/>
        <w:outlineLvl w:val="2"/>
        <w:rPr>
          <w:b/>
          <w:snapToGrid w:val="0"/>
          <w:sz w:val="28"/>
          <w:highlight w:val="none"/>
        </w:rPr>
      </w:pPr>
      <w:bookmarkStart w:id="944" w:name="_Toc13105"/>
      <w:bookmarkStart w:id="945" w:name="_Toc8865"/>
      <w:r>
        <w:rPr>
          <w:rFonts w:hint="eastAsia"/>
          <w:b/>
          <w:snapToGrid w:val="0"/>
          <w:sz w:val="28"/>
          <w:highlight w:val="none"/>
        </w:rPr>
        <w:t>招标代理服务费承诺函</w:t>
      </w:r>
      <w:bookmarkEnd w:id="926"/>
      <w:bookmarkEnd w:id="944"/>
      <w:bookmarkEnd w:id="945"/>
    </w:p>
    <w:p>
      <w:pPr>
        <w:wordWrap w:val="0"/>
        <w:topLinePunct/>
        <w:rPr>
          <w:snapToGrid w:val="0"/>
          <w:highlight w:val="none"/>
        </w:rPr>
      </w:pPr>
      <w:r>
        <w:rPr>
          <w:rFonts w:hint="eastAsia"/>
          <w:snapToGrid w:val="0"/>
          <w:highlight w:val="none"/>
        </w:rPr>
        <w:t>四川乾新招投标代理有限公司：</w:t>
      </w:r>
    </w:p>
    <w:p>
      <w:pPr>
        <w:wordWrap w:val="0"/>
        <w:topLinePunct/>
        <w:ind w:firstLine="480" w:firstLineChars="200"/>
        <w:rPr>
          <w:b/>
          <w:bCs/>
          <w:highlight w:val="none"/>
        </w:rPr>
      </w:pPr>
      <w:r>
        <w:rPr>
          <w:rFonts w:hint="eastAsia"/>
          <w:highlight w:val="none"/>
        </w:rPr>
        <w:t>我公司在贵公司代理的</w:t>
      </w:r>
      <w:r>
        <w:rPr>
          <w:rFonts w:hint="eastAsia"/>
          <w:highlight w:val="none"/>
          <w:u w:val="single"/>
        </w:rPr>
        <w:t xml:space="preserve">                              </w:t>
      </w:r>
      <w:r>
        <w:rPr>
          <w:rFonts w:hint="eastAsia"/>
          <w:highlight w:val="none"/>
        </w:rPr>
        <w:t>项目(项目编号：</w:t>
      </w:r>
      <w:r>
        <w:rPr>
          <w:rFonts w:hint="eastAsia"/>
          <w:highlight w:val="none"/>
          <w:u w:val="single"/>
        </w:rPr>
        <w:t xml:space="preserve">                              </w:t>
      </w:r>
      <w:r>
        <w:rPr>
          <w:rFonts w:hint="eastAsia"/>
          <w:highlight w:val="none"/>
        </w:rPr>
        <w:t>)公开招标中若获中标，我们保证在收到中标通知后2个工作日内按</w:t>
      </w:r>
      <w:r>
        <w:rPr>
          <w:rFonts w:hint="eastAsia"/>
          <w:highlight w:val="none"/>
          <w:lang w:val="zh-CN"/>
        </w:rPr>
        <w:t>招标文件</w:t>
      </w:r>
      <w:r>
        <w:rPr>
          <w:rFonts w:hint="eastAsia"/>
          <w:highlight w:val="none"/>
        </w:rPr>
        <w:t>的规定，以支票、银行汇票、电汇、现金或经贵公司认可的一种方式，向贵公司即四川乾新招投标代理有限公司指定的银行账号，按照</w:t>
      </w:r>
      <w:r>
        <w:rPr>
          <w:rFonts w:hint="eastAsia"/>
          <w:highlight w:val="none"/>
          <w:lang w:val="zh-CN"/>
        </w:rPr>
        <w:t>招标文件中</w:t>
      </w:r>
      <w:r>
        <w:rPr>
          <w:rFonts w:hint="eastAsia"/>
          <w:highlight w:val="none"/>
        </w:rPr>
        <w:t>招标代理服务费收取标准一次性支付招标代理服务费。</w:t>
      </w:r>
      <w:r>
        <w:rPr>
          <w:rFonts w:hint="eastAsia"/>
          <w:b/>
          <w:bCs/>
          <w:highlight w:val="none"/>
        </w:rPr>
        <w:t>如因我公司自身原因造成取消中标资格或自愿放弃中标资格的，我司已交纳的招标代理服务费不予退还，由此造成的损失由我方自行承担。</w:t>
      </w:r>
    </w:p>
    <w:p>
      <w:pPr>
        <w:wordWrap w:val="0"/>
        <w:topLinePunct/>
        <w:ind w:firstLine="480" w:firstLineChars="200"/>
        <w:rPr>
          <w:highlight w:val="none"/>
        </w:rPr>
      </w:pPr>
    </w:p>
    <w:p>
      <w:pPr>
        <w:wordWrap w:val="0"/>
        <w:topLinePunct/>
        <w:ind w:firstLine="480" w:firstLineChars="200"/>
        <w:rPr>
          <w:highlight w:val="none"/>
        </w:rPr>
      </w:pPr>
    </w:p>
    <w:p>
      <w:pPr>
        <w:wordWrap w:val="0"/>
        <w:topLinePunct/>
        <w:ind w:firstLine="480" w:firstLineChars="200"/>
        <w:rPr>
          <w:highlight w:val="none"/>
        </w:rPr>
      </w:pPr>
      <w:r>
        <w:rPr>
          <w:rFonts w:hint="eastAsia"/>
          <w:highlight w:val="none"/>
        </w:rPr>
        <w:t>特此承诺。</w:t>
      </w:r>
    </w:p>
    <w:p>
      <w:pPr>
        <w:wordWrap w:val="0"/>
        <w:topLinePunct/>
        <w:rPr>
          <w:snapToGrid w:val="0"/>
          <w:highlight w:val="none"/>
        </w:rPr>
      </w:pPr>
    </w:p>
    <w:p>
      <w:pPr>
        <w:wordWrap w:val="0"/>
        <w:topLinePunct/>
        <w:rPr>
          <w:snapToGrid w:val="0"/>
          <w:highlight w:val="none"/>
        </w:rPr>
      </w:pP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投标人名称：</w:t>
      </w:r>
      <w:r>
        <w:rPr>
          <w:rFonts w:hint="eastAsia" w:asciiTheme="minorEastAsia" w:hAnsiTheme="minorEastAsia" w:eastAsiaTheme="minorEastAsia" w:cstheme="minorEastAsia"/>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地  址：</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电  话：</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传  真：</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邮  编：</w:t>
      </w:r>
      <w:r>
        <w:rPr>
          <w:rFonts w:hint="eastAsia" w:asciiTheme="minorEastAsia" w:hAnsiTheme="minorEastAsia" w:eastAsiaTheme="minorEastAsia" w:cstheme="minorEastAsia"/>
          <w:bCs/>
          <w:highlight w:val="none"/>
          <w:u w:val="single"/>
        </w:rPr>
        <w:t xml:space="preserve">                </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承诺日期：</w:t>
      </w:r>
      <w:r>
        <w:rPr>
          <w:rFonts w:hint="eastAsia" w:asciiTheme="minorEastAsia" w:hAnsiTheme="minorEastAsia" w:eastAsiaTheme="minorEastAsia" w:cstheme="minorEastAsia"/>
          <w:bCs/>
          <w:highlight w:val="none"/>
          <w:u w:val="single"/>
        </w:rPr>
        <w:t xml:space="preserve">              </w:t>
      </w:r>
    </w:p>
    <w:p>
      <w:pPr>
        <w:pStyle w:val="29"/>
        <w:rPr>
          <w:highlight w:val="none"/>
        </w:rPr>
      </w:pPr>
      <w:r>
        <w:rPr>
          <w:rFonts w:hint="eastAsia"/>
          <w:highlight w:val="none"/>
        </w:rPr>
        <w:t xml:space="preserve">                </w:t>
      </w:r>
    </w:p>
    <w:p>
      <w:pPr>
        <w:pStyle w:val="29"/>
        <w:rPr>
          <w:highlight w:val="none"/>
        </w:rPr>
      </w:pPr>
    </w:p>
    <w:p>
      <w:pPr>
        <w:pStyle w:val="29"/>
        <w:rPr>
          <w:highlight w:val="none"/>
        </w:rPr>
      </w:pPr>
      <w:r>
        <w:rPr>
          <w:rFonts w:hint="eastAsia"/>
          <w:highlight w:val="none"/>
        </w:rPr>
        <w:br w:type="page"/>
      </w:r>
    </w:p>
    <w:bookmarkEnd w:id="869"/>
    <w:bookmarkEnd w:id="870"/>
    <w:p>
      <w:pPr>
        <w:pStyle w:val="28"/>
        <w:numPr>
          <w:ilvl w:val="0"/>
          <w:numId w:val="12"/>
        </w:numPr>
        <w:spacing w:before="120" w:after="120"/>
        <w:rPr>
          <w:spacing w:val="-6"/>
          <w:highlight w:val="none"/>
        </w:rPr>
      </w:pPr>
      <w:bookmarkStart w:id="946" w:name="_Toc17786"/>
      <w:bookmarkStart w:id="947" w:name="_Toc1941"/>
      <w:bookmarkStart w:id="948" w:name="_Toc23987"/>
      <w:bookmarkStart w:id="949" w:name="_Toc27001"/>
      <w:bookmarkStart w:id="950" w:name="_Toc8502"/>
      <w:bookmarkStart w:id="951" w:name="_Toc10576"/>
      <w:bookmarkStart w:id="952" w:name="_Toc24042"/>
      <w:r>
        <w:rPr>
          <w:rFonts w:hint="eastAsia"/>
          <w:spacing w:val="-6"/>
          <w:highlight w:val="none"/>
        </w:rPr>
        <w:t>投标人和投标产品的资格、资质性</w:t>
      </w:r>
      <w:bookmarkStart w:id="953" w:name="_Toc327196317"/>
      <w:bookmarkStart w:id="954" w:name="_Toc319439931"/>
      <w:bookmarkStart w:id="955" w:name="_Toc21759"/>
      <w:bookmarkStart w:id="956" w:name="_Toc307501136"/>
      <w:bookmarkStart w:id="957" w:name="_Toc307564882"/>
      <w:bookmarkStart w:id="958" w:name="_Toc17884"/>
      <w:r>
        <w:rPr>
          <w:rFonts w:hint="eastAsia"/>
          <w:spacing w:val="-6"/>
          <w:highlight w:val="none"/>
        </w:rPr>
        <w:t>及其他类似效力要求</w:t>
      </w:r>
      <w:bookmarkEnd w:id="946"/>
      <w:bookmarkEnd w:id="947"/>
      <w:bookmarkEnd w:id="948"/>
      <w:bookmarkEnd w:id="949"/>
      <w:bookmarkEnd w:id="953"/>
      <w:bookmarkEnd w:id="954"/>
      <w:bookmarkEnd w:id="955"/>
      <w:bookmarkEnd w:id="956"/>
      <w:bookmarkEnd w:id="957"/>
      <w:bookmarkEnd w:id="958"/>
    </w:p>
    <w:bookmarkEnd w:id="950"/>
    <w:bookmarkEnd w:id="951"/>
    <w:bookmarkEnd w:id="952"/>
    <w:p>
      <w:pPr>
        <w:pStyle w:val="30"/>
        <w:numPr>
          <w:ilvl w:val="1"/>
          <w:numId w:val="12"/>
        </w:numPr>
        <w:ind w:firstLine="482"/>
        <w:rPr>
          <w:highlight w:val="none"/>
          <w:lang w:val="zh-CN"/>
        </w:rPr>
      </w:pPr>
      <w:bookmarkStart w:id="959" w:name="_Toc20075"/>
      <w:bookmarkStart w:id="960" w:name="_Toc30456"/>
      <w:bookmarkStart w:id="961" w:name="_Toc18335"/>
      <w:bookmarkStart w:id="962" w:name="_Toc14656"/>
      <w:bookmarkStart w:id="963" w:name="_Toc5268"/>
      <w:bookmarkStart w:id="964" w:name="_Toc4824"/>
      <w:r>
        <w:rPr>
          <w:rFonts w:hint="eastAsia"/>
          <w:highlight w:val="none"/>
        </w:rPr>
        <w:t>投标人资格、资质性及其他类似效力要求</w:t>
      </w:r>
      <w:bookmarkEnd w:id="959"/>
      <w:bookmarkEnd w:id="960"/>
    </w:p>
    <w:p>
      <w:pPr>
        <w:pStyle w:val="29"/>
        <w:spacing w:line="460" w:lineRule="exact"/>
        <w:ind w:firstLine="480" w:firstLineChars="200"/>
        <w:rPr>
          <w:highlight w:val="none"/>
          <w:lang w:val="zh-CN"/>
        </w:rPr>
      </w:pPr>
      <w:r>
        <w:rPr>
          <w:rFonts w:hint="eastAsia"/>
          <w:highlight w:val="none"/>
        </w:rPr>
        <w:t>(一)</w:t>
      </w:r>
      <w:r>
        <w:rPr>
          <w:rFonts w:hint="eastAsia"/>
          <w:highlight w:val="none"/>
          <w:lang w:val="zh-CN"/>
        </w:rPr>
        <w:t>符合《中华人民共和国政府采购法》第二十二条规定的条件：</w:t>
      </w:r>
    </w:p>
    <w:p>
      <w:pPr>
        <w:pStyle w:val="29"/>
        <w:spacing w:line="460" w:lineRule="exact"/>
        <w:ind w:firstLine="480" w:firstLineChars="200"/>
        <w:rPr>
          <w:highlight w:val="none"/>
        </w:rPr>
      </w:pPr>
      <w:r>
        <w:rPr>
          <w:rFonts w:hint="eastAsia"/>
          <w:highlight w:val="none"/>
        </w:rPr>
        <w:t>1.具有独立承担</w:t>
      </w:r>
      <w:r>
        <w:rPr>
          <w:rFonts w:hint="eastAsia"/>
          <w:highlight w:val="none"/>
        </w:rPr>
        <w:fldChar w:fldCharType="begin"/>
      </w:r>
      <w:r>
        <w:rPr>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29"/>
        <w:spacing w:line="460" w:lineRule="exact"/>
        <w:ind w:firstLine="480" w:firstLineChars="200"/>
        <w:rPr>
          <w:highlight w:val="none"/>
        </w:rPr>
      </w:pPr>
      <w:r>
        <w:rPr>
          <w:rFonts w:hint="eastAsia"/>
          <w:highlight w:val="none"/>
        </w:rPr>
        <w:t>2.具有良好的商业信誉和健全的财务会计制度；</w:t>
      </w:r>
    </w:p>
    <w:p>
      <w:pPr>
        <w:pStyle w:val="29"/>
        <w:spacing w:line="460" w:lineRule="exact"/>
        <w:ind w:firstLine="480" w:firstLineChars="200"/>
        <w:rPr>
          <w:highlight w:val="none"/>
        </w:rPr>
      </w:pPr>
      <w:r>
        <w:rPr>
          <w:rFonts w:hint="eastAsia"/>
          <w:highlight w:val="none"/>
        </w:rPr>
        <w:t>3.具有履行合同所必需的设备和专业技术能力；</w:t>
      </w:r>
    </w:p>
    <w:p>
      <w:pPr>
        <w:pStyle w:val="29"/>
        <w:spacing w:line="460" w:lineRule="exact"/>
        <w:ind w:firstLine="480" w:firstLineChars="200"/>
        <w:rPr>
          <w:highlight w:val="none"/>
        </w:rPr>
      </w:pPr>
      <w:r>
        <w:rPr>
          <w:rFonts w:hint="eastAsia"/>
          <w:highlight w:val="none"/>
        </w:rPr>
        <w:t>4.有依法缴纳税收和</w:t>
      </w:r>
      <w:r>
        <w:rPr>
          <w:rFonts w:hint="eastAsia"/>
          <w:highlight w:val="none"/>
        </w:rPr>
        <w:fldChar w:fldCharType="begin"/>
      </w:r>
      <w:r>
        <w:rPr>
          <w:highlight w:val="none"/>
        </w:rPr>
        <w:instrText xml:space="preserve"> HYPERLINK "http://www.lawtime.cn/info/laodong/shehuibaozhang/" \t "_blank" </w:instrText>
      </w:r>
      <w:r>
        <w:rPr>
          <w:rFonts w:hint="eastAsia"/>
          <w:highlight w:val="none"/>
        </w:rPr>
        <w:fldChar w:fldCharType="separate"/>
      </w:r>
      <w:r>
        <w:rPr>
          <w:rFonts w:hint="eastAsia"/>
          <w:highlight w:val="none"/>
        </w:rPr>
        <w:t>社会保障</w:t>
      </w:r>
      <w:r>
        <w:rPr>
          <w:rFonts w:hint="eastAsia"/>
          <w:highlight w:val="none"/>
        </w:rPr>
        <w:fldChar w:fldCharType="end"/>
      </w:r>
      <w:r>
        <w:rPr>
          <w:rFonts w:hint="eastAsia"/>
          <w:highlight w:val="none"/>
        </w:rPr>
        <w:t>资金的良好记录；</w:t>
      </w:r>
    </w:p>
    <w:p>
      <w:pPr>
        <w:pStyle w:val="29"/>
        <w:spacing w:line="460" w:lineRule="exact"/>
        <w:ind w:firstLine="480" w:firstLineChars="200"/>
        <w:rPr>
          <w:highlight w:val="none"/>
        </w:rPr>
      </w:pPr>
      <w:r>
        <w:rPr>
          <w:rFonts w:hint="eastAsia"/>
          <w:highlight w:val="none"/>
        </w:rPr>
        <w:t>5.参加政府采购活动前三年内，在经营活动中没有重大违法记录；</w:t>
      </w:r>
    </w:p>
    <w:p>
      <w:pPr>
        <w:pStyle w:val="29"/>
        <w:spacing w:line="460" w:lineRule="exact"/>
        <w:ind w:firstLine="480" w:firstLineChars="200"/>
        <w:rPr>
          <w:highlight w:val="none"/>
        </w:rPr>
      </w:pPr>
      <w:r>
        <w:rPr>
          <w:rFonts w:hint="eastAsia"/>
          <w:highlight w:val="none"/>
        </w:rPr>
        <w:t>6.法律、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highlight w:val="none"/>
        </w:rPr>
        <w:t>行政法</w:t>
      </w:r>
      <w:r>
        <w:rPr>
          <w:rFonts w:hint="eastAsia"/>
          <w:highlight w:val="none"/>
        </w:rPr>
        <w:fldChar w:fldCharType="end"/>
      </w:r>
      <w:r>
        <w:rPr>
          <w:rFonts w:hint="eastAsia"/>
          <w:highlight w:val="none"/>
        </w:rPr>
        <w:t>规规定的其他条件；</w:t>
      </w:r>
    </w:p>
    <w:p>
      <w:pPr>
        <w:pStyle w:val="29"/>
        <w:spacing w:line="460" w:lineRule="exact"/>
        <w:ind w:firstLine="480" w:firstLineChars="200"/>
        <w:rPr>
          <w:highlight w:val="none"/>
          <w:lang w:val="zh-CN"/>
        </w:rPr>
      </w:pPr>
      <w:r>
        <w:rPr>
          <w:rFonts w:hint="eastAsia"/>
          <w:highlight w:val="none"/>
        </w:rPr>
        <w:t>(二)</w:t>
      </w:r>
      <w:r>
        <w:rPr>
          <w:rFonts w:hint="eastAsia"/>
          <w:highlight w:val="none"/>
          <w:lang w:val="zh-CN"/>
        </w:rPr>
        <w:t>本项目的特定资格要求：</w:t>
      </w:r>
      <w:r>
        <w:rPr>
          <w:rFonts w:hint="eastAsia"/>
          <w:highlight w:val="none"/>
        </w:rPr>
        <w:t>本项目不接受联合体投标。</w:t>
      </w:r>
    </w:p>
    <w:p>
      <w:pPr>
        <w:pStyle w:val="30"/>
        <w:numPr>
          <w:ilvl w:val="1"/>
          <w:numId w:val="12"/>
        </w:numPr>
        <w:ind w:firstLine="482"/>
        <w:rPr>
          <w:highlight w:val="none"/>
        </w:rPr>
      </w:pPr>
      <w:bookmarkStart w:id="965" w:name="_Toc24021"/>
      <w:r>
        <w:rPr>
          <w:rFonts w:hint="eastAsia"/>
          <w:highlight w:val="none"/>
        </w:rPr>
        <w:t>投标产品的资格、资质性及其他类似效力要求</w:t>
      </w:r>
      <w:bookmarkEnd w:id="961"/>
      <w:bookmarkEnd w:id="962"/>
      <w:bookmarkEnd w:id="963"/>
      <w:bookmarkEnd w:id="964"/>
      <w:bookmarkEnd w:id="965"/>
    </w:p>
    <w:p>
      <w:pPr>
        <w:pStyle w:val="33"/>
        <w:rPr>
          <w:highlight w:val="none"/>
        </w:rPr>
      </w:pPr>
      <w:r>
        <w:rPr>
          <w:rFonts w:hint="eastAsia"/>
          <w:highlight w:val="none"/>
        </w:rPr>
        <w:t>无。</w:t>
      </w:r>
    </w:p>
    <w:p>
      <w:pPr>
        <w:pStyle w:val="30"/>
        <w:numPr>
          <w:ilvl w:val="1"/>
          <w:numId w:val="12"/>
        </w:numPr>
        <w:ind w:firstLine="482"/>
        <w:rPr>
          <w:highlight w:val="none"/>
        </w:rPr>
      </w:pPr>
      <w:bookmarkStart w:id="966" w:name="_Toc3740"/>
      <w:bookmarkStart w:id="967" w:name="_Toc29897"/>
      <w:r>
        <w:rPr>
          <w:rFonts w:hint="eastAsia"/>
          <w:highlight w:val="none"/>
        </w:rPr>
        <w:t>其他类似效力要求</w:t>
      </w:r>
      <w:bookmarkEnd w:id="966"/>
      <w:bookmarkEnd w:id="967"/>
    </w:p>
    <w:p>
      <w:pPr>
        <w:pStyle w:val="41"/>
        <w:numPr>
          <w:ilvl w:val="1"/>
          <w:numId w:val="24"/>
        </w:numPr>
        <w:ind w:firstLine="480"/>
        <w:rPr>
          <w:highlight w:val="none"/>
          <w:lang w:val="zh-CN"/>
        </w:rPr>
      </w:pPr>
      <w:r>
        <w:rPr>
          <w:rFonts w:hint="eastAsia"/>
          <w:highlight w:val="none"/>
          <w:lang w:val="zh-CN"/>
        </w:rPr>
        <w:t>投标供应商单位及其现任法定代表人、主要负责人不得具有行贿犯罪记录；</w:t>
      </w:r>
    </w:p>
    <w:p>
      <w:pPr>
        <w:pStyle w:val="41"/>
        <w:numPr>
          <w:ilvl w:val="1"/>
          <w:numId w:val="24"/>
        </w:numPr>
        <w:ind w:firstLine="480"/>
        <w:rPr>
          <w:highlight w:val="none"/>
          <w:lang w:val="zh-CN"/>
        </w:rPr>
      </w:pPr>
      <w:r>
        <w:rPr>
          <w:rFonts w:hint="eastAsia"/>
          <w:highlight w:val="none"/>
          <w:lang w:val="zh-CN"/>
        </w:rPr>
        <w:t>投标人代表不是法定代表人</w:t>
      </w:r>
      <w:r>
        <w:rPr>
          <w:rFonts w:hint="eastAsia"/>
          <w:highlight w:val="none"/>
        </w:rPr>
        <w:t>/单位负责人</w:t>
      </w:r>
      <w:r>
        <w:rPr>
          <w:rFonts w:hint="eastAsia"/>
          <w:highlight w:val="none"/>
          <w:lang w:val="zh-CN"/>
        </w:rPr>
        <w:t>时提供针对本次投标的法定代表人</w:t>
      </w:r>
      <w:r>
        <w:rPr>
          <w:rFonts w:hint="eastAsia"/>
          <w:highlight w:val="none"/>
        </w:rPr>
        <w:t>/单位负责人</w:t>
      </w:r>
      <w:r>
        <w:rPr>
          <w:rFonts w:hint="eastAsia"/>
          <w:highlight w:val="none"/>
          <w:lang w:val="zh-CN"/>
        </w:rPr>
        <w:t>授权书原件；</w:t>
      </w:r>
    </w:p>
    <w:p>
      <w:pPr>
        <w:pStyle w:val="41"/>
        <w:numPr>
          <w:ilvl w:val="1"/>
          <w:numId w:val="24"/>
        </w:numPr>
        <w:ind w:firstLine="480"/>
        <w:rPr>
          <w:highlight w:val="none"/>
          <w:lang w:val="zh-CN"/>
        </w:rPr>
      </w:pPr>
      <w:r>
        <w:rPr>
          <w:rFonts w:hint="eastAsia"/>
          <w:highlight w:val="none"/>
        </w:rPr>
        <w:t>投标人代表是法定</w:t>
      </w:r>
      <w:r>
        <w:rPr>
          <w:rFonts w:hint="eastAsia"/>
          <w:highlight w:val="none"/>
          <w:lang w:val="zh-CN"/>
        </w:rPr>
        <w:t>代表人</w:t>
      </w:r>
      <w:r>
        <w:rPr>
          <w:rFonts w:hint="eastAsia"/>
          <w:highlight w:val="none"/>
        </w:rPr>
        <w:t>/单位负责人</w:t>
      </w:r>
      <w:r>
        <w:rPr>
          <w:rFonts w:hint="eastAsia"/>
          <w:highlight w:val="none"/>
          <w:lang w:val="zh-CN"/>
        </w:rPr>
        <w:t>时，</w:t>
      </w:r>
      <w:r>
        <w:rPr>
          <w:rFonts w:hint="eastAsia"/>
          <w:highlight w:val="none"/>
        </w:rPr>
        <w:t>提供法定代表人/单位负责人证明书原件。</w:t>
      </w:r>
    </w:p>
    <w:p>
      <w:pPr>
        <w:pStyle w:val="33"/>
        <w:ind w:firstLine="482"/>
        <w:rPr>
          <w:b/>
          <w:bCs/>
          <w:highlight w:val="none"/>
        </w:rPr>
      </w:pPr>
      <w:bookmarkStart w:id="968" w:name="_Toc24888"/>
      <w:r>
        <w:rPr>
          <w:rFonts w:hint="eastAsia"/>
          <w:b/>
          <w:bCs/>
          <w:highlight w:val="none"/>
        </w:rPr>
        <w:t>注：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3"/>
        <w:ind w:firstLine="482"/>
        <w:rPr>
          <w:b/>
          <w:bCs/>
          <w:highlight w:val="none"/>
        </w:rPr>
      </w:pPr>
      <w:r>
        <w:rPr>
          <w:rFonts w:hint="eastAsia"/>
          <w:b/>
          <w:bCs/>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3"/>
        <w:ind w:firstLine="482"/>
        <w:rPr>
          <w:highlight w:val="none"/>
        </w:rPr>
      </w:pPr>
      <w:r>
        <w:rPr>
          <w:rFonts w:hint="eastAsia"/>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28"/>
        <w:numPr>
          <w:ilvl w:val="0"/>
          <w:numId w:val="12"/>
        </w:numPr>
        <w:spacing w:before="120" w:after="120"/>
        <w:rPr>
          <w:highlight w:val="none"/>
        </w:rPr>
      </w:pPr>
      <w:r>
        <w:rPr>
          <w:rFonts w:hint="eastAsia"/>
          <w:highlight w:val="none"/>
        </w:rPr>
        <w:br w:type="page"/>
      </w:r>
      <w:bookmarkEnd w:id="968"/>
      <w:bookmarkStart w:id="969" w:name="_Toc18196"/>
      <w:bookmarkStart w:id="970" w:name="_Toc22998"/>
      <w:bookmarkStart w:id="971" w:name="_Toc8327"/>
      <w:r>
        <w:rPr>
          <w:rFonts w:hint="eastAsia"/>
          <w:highlight w:val="none"/>
        </w:rPr>
        <w:t>资格性审查</w:t>
      </w:r>
      <w:bookmarkEnd w:id="969"/>
      <w:r>
        <w:rPr>
          <w:rFonts w:hint="eastAsia"/>
          <w:highlight w:val="none"/>
        </w:rPr>
        <w:t>内容</w:t>
      </w:r>
      <w:bookmarkEnd w:id="970"/>
      <w:bookmarkEnd w:id="971"/>
    </w:p>
    <w:p>
      <w:pPr>
        <w:pStyle w:val="30"/>
        <w:numPr>
          <w:ilvl w:val="1"/>
          <w:numId w:val="12"/>
        </w:numPr>
        <w:ind w:firstLine="482"/>
        <w:rPr>
          <w:highlight w:val="none"/>
        </w:rPr>
      </w:pPr>
      <w:bookmarkStart w:id="972" w:name="_Toc3107"/>
      <w:bookmarkStart w:id="973" w:name="_Toc30344"/>
      <w:bookmarkStart w:id="974" w:name="_Toc19186"/>
      <w:bookmarkStart w:id="975" w:name="_Toc17621"/>
      <w:bookmarkStart w:id="976" w:name="_Toc17175"/>
      <w:bookmarkStart w:id="977" w:name="_Toc28265"/>
      <w:bookmarkStart w:id="978" w:name="_Toc141"/>
      <w:bookmarkStart w:id="979" w:name="_Toc20678"/>
      <w:bookmarkStart w:id="980" w:name="_Toc10631"/>
      <w:bookmarkStart w:id="981" w:name="_Toc32482"/>
      <w:r>
        <w:rPr>
          <w:rFonts w:hint="eastAsia"/>
          <w:highlight w:val="none"/>
        </w:rPr>
        <w:t>应当提供的投标人及投标产品资格、资质性及其他类似效力要求的相关证明材料</w:t>
      </w:r>
      <w:bookmarkEnd w:id="972"/>
      <w:bookmarkEnd w:id="973"/>
      <w:bookmarkEnd w:id="974"/>
      <w:bookmarkEnd w:id="975"/>
      <w:bookmarkEnd w:id="976"/>
      <w:bookmarkEnd w:id="977"/>
    </w:p>
    <w:p>
      <w:pPr>
        <w:pStyle w:val="41"/>
        <w:numPr>
          <w:ilvl w:val="1"/>
          <w:numId w:val="25"/>
        </w:numPr>
        <w:ind w:firstLine="482"/>
        <w:rPr>
          <w:b/>
          <w:bCs/>
          <w:highlight w:val="none"/>
        </w:rPr>
      </w:pPr>
      <w:r>
        <w:rPr>
          <w:rFonts w:hint="eastAsia"/>
          <w:b/>
          <w:bCs/>
          <w:highlight w:val="none"/>
        </w:rPr>
        <w:t>投标人具有独立承担民事责任的能力的证明材料；</w:t>
      </w:r>
    </w:p>
    <w:p>
      <w:pPr>
        <w:pStyle w:val="33"/>
        <w:rPr>
          <w:highlight w:val="none"/>
        </w:rPr>
      </w:pPr>
      <w:r>
        <w:rPr>
          <w:rFonts w:hint="eastAsia"/>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3"/>
        <w:ind w:firstLine="482"/>
        <w:rPr>
          <w:highlight w:val="none"/>
        </w:rPr>
      </w:pPr>
      <w:r>
        <w:rPr>
          <w:rFonts w:hint="eastAsia"/>
          <w:highlight w:val="none"/>
        </w:rPr>
        <w:t>注：1.以上证明材料应满足此条要求①发证机关有年检要求的，应按规定通过年检；②在有效期内；③复印件加盖投标人电子签章；</w:t>
      </w:r>
    </w:p>
    <w:p>
      <w:pPr>
        <w:pStyle w:val="53"/>
        <w:ind w:firstLine="482"/>
        <w:rPr>
          <w:highlight w:val="none"/>
        </w:rPr>
      </w:pPr>
      <w:r>
        <w:rPr>
          <w:rFonts w:hint="eastAsia"/>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highlight w:val="none"/>
        </w:rPr>
      </w:pPr>
      <w:r>
        <w:rPr>
          <w:rFonts w:hint="eastAsia"/>
          <w:highlight w:val="none"/>
        </w:rPr>
        <w:t>3.</w:t>
      </w:r>
      <w:r>
        <w:rPr>
          <w:highlight w:val="none"/>
        </w:rPr>
        <w:t>根据国务院办公厅关于加快推进“多证合一”改革的指导意见</w:t>
      </w:r>
      <w:r>
        <w:rPr>
          <w:rFonts w:hint="eastAsia"/>
          <w:highlight w:val="none"/>
        </w:rPr>
        <w:t>(</w:t>
      </w:r>
      <w:r>
        <w:rPr>
          <w:highlight w:val="none"/>
        </w:rPr>
        <w:t>国办发</w:t>
      </w:r>
      <w:r>
        <w:rPr>
          <w:rFonts w:hint="eastAsia"/>
          <w:highlight w:val="none"/>
        </w:rPr>
        <w:t>〔</w:t>
      </w:r>
      <w:r>
        <w:rPr>
          <w:highlight w:val="none"/>
        </w:rPr>
        <w:t>2017</w:t>
      </w:r>
      <w:r>
        <w:rPr>
          <w:rFonts w:hint="eastAsia"/>
          <w:highlight w:val="none"/>
        </w:rPr>
        <w:t>〕</w:t>
      </w:r>
      <w:r>
        <w:rPr>
          <w:highlight w:val="none"/>
        </w:rPr>
        <w:t>41号</w:t>
      </w:r>
      <w:r>
        <w:rPr>
          <w:rFonts w:hint="eastAsia"/>
          <w:highlight w:val="none"/>
        </w:rPr>
        <w:t>)</w:t>
      </w:r>
      <w:r>
        <w:rPr>
          <w:highlight w:val="none"/>
        </w:rPr>
        <w:t>等政策要求，若资格要求涉及的登记、备案等有关事项和各类证照已实行多证合一</w:t>
      </w:r>
      <w:r>
        <w:rPr>
          <w:rFonts w:hint="eastAsia"/>
          <w:highlight w:val="none"/>
        </w:rPr>
        <w:t>提供多证合一证照副本复印件</w:t>
      </w:r>
      <w:r>
        <w:rPr>
          <w:highlight w:val="none"/>
        </w:rPr>
        <w:t>。</w:t>
      </w:r>
    </w:p>
    <w:p>
      <w:pPr>
        <w:pStyle w:val="41"/>
        <w:numPr>
          <w:ilvl w:val="1"/>
          <w:numId w:val="25"/>
        </w:numPr>
        <w:ind w:firstLine="482"/>
        <w:rPr>
          <w:b/>
          <w:bCs/>
          <w:highlight w:val="none"/>
        </w:rPr>
      </w:pPr>
      <w:r>
        <w:rPr>
          <w:rFonts w:hint="eastAsia"/>
          <w:b/>
          <w:bCs/>
          <w:highlight w:val="none"/>
        </w:rPr>
        <w:t>投标人具有良好的商业信誉和健全的财务会计制度的证明材料；</w:t>
      </w:r>
    </w:p>
    <w:p>
      <w:pPr>
        <w:pStyle w:val="33"/>
        <w:rPr>
          <w:highlight w:val="none"/>
        </w:rPr>
      </w:pPr>
      <w:r>
        <w:rPr>
          <w:rFonts w:hint="eastAsia"/>
          <w:highlight w:val="none"/>
        </w:rPr>
        <w:t>1.投标人具有良好商业信誉的证明材料</w:t>
      </w:r>
    </w:p>
    <w:p>
      <w:pPr>
        <w:pStyle w:val="33"/>
        <w:rPr>
          <w:highlight w:val="none"/>
        </w:rPr>
      </w:pPr>
      <w:r>
        <w:rPr>
          <w:rFonts w:hint="eastAsia"/>
          <w:highlight w:val="none"/>
        </w:rPr>
        <w:t>提供具有良好的商业信誉的承诺函。</w:t>
      </w:r>
    </w:p>
    <w:p>
      <w:pPr>
        <w:pStyle w:val="33"/>
        <w:ind w:firstLine="482"/>
        <w:rPr>
          <w:b/>
          <w:bCs/>
          <w:highlight w:val="none"/>
        </w:rPr>
      </w:pPr>
      <w:r>
        <w:rPr>
          <w:rFonts w:hint="eastAsia" w:cs="宋体"/>
          <w:b/>
          <w:bCs/>
          <w:highlight w:val="none"/>
        </w:rPr>
        <w:t>注：</w:t>
      </w:r>
      <w:r>
        <w:rPr>
          <w:rFonts w:hint="eastAsia"/>
          <w:b/>
          <w:bCs/>
          <w:highlight w:val="none"/>
        </w:rPr>
        <w:t>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3"/>
        <w:rPr>
          <w:highlight w:val="none"/>
        </w:rPr>
      </w:pPr>
      <w:r>
        <w:rPr>
          <w:rFonts w:hint="eastAsia"/>
          <w:highlight w:val="none"/>
        </w:rPr>
        <w:t>2.投标人具有健全的财务会计制度的证明材料；</w:t>
      </w:r>
    </w:p>
    <w:p>
      <w:pPr>
        <w:pStyle w:val="33"/>
        <w:rPr>
          <w:highlight w:val="none"/>
        </w:rPr>
      </w:pPr>
      <w:r>
        <w:rPr>
          <w:rFonts w:hint="eastAsia"/>
          <w:highlight w:val="none"/>
        </w:rPr>
        <w:t>(1)投标人提供2020年度经过会计师事务所审计的财务报告复印件(经审计的有效财务报告应包括报告及报告中所附的完整内容，并由注册会计师签名、盖章以及会计师事务所盖章)；</w:t>
      </w:r>
    </w:p>
    <w:p>
      <w:pPr>
        <w:pStyle w:val="33"/>
        <w:rPr>
          <w:highlight w:val="none"/>
        </w:rPr>
      </w:pPr>
      <w:r>
        <w:rPr>
          <w:rFonts w:hint="eastAsia"/>
          <w:highlight w:val="none"/>
        </w:rPr>
        <w:t>(2)投标人提供2020年度投标人内部的财务报表复印件(至少包含资产负债表)；</w:t>
      </w:r>
    </w:p>
    <w:p>
      <w:pPr>
        <w:pStyle w:val="33"/>
        <w:rPr>
          <w:highlight w:val="none"/>
        </w:rPr>
      </w:pPr>
      <w:r>
        <w:rPr>
          <w:rFonts w:hint="eastAsia"/>
          <w:highlight w:val="none"/>
        </w:rPr>
        <w:t>(3)投标人提供投标文件递交截止日前一年内银行为其出具的资信证明复印件；</w:t>
      </w:r>
    </w:p>
    <w:p>
      <w:pPr>
        <w:pStyle w:val="33"/>
        <w:rPr>
          <w:highlight w:val="none"/>
        </w:rPr>
      </w:pPr>
      <w:r>
        <w:rPr>
          <w:rFonts w:hint="eastAsia"/>
          <w:highlight w:val="none"/>
        </w:rPr>
        <w:t>(4)投标人注册时间截至投标文件递交截止日不足一年的，可提供公司章程复印件；</w:t>
      </w:r>
    </w:p>
    <w:p>
      <w:pPr>
        <w:pStyle w:val="33"/>
        <w:rPr>
          <w:highlight w:val="none"/>
        </w:rPr>
      </w:pPr>
      <w:r>
        <w:rPr>
          <w:rFonts w:hint="eastAsia"/>
          <w:highlight w:val="none"/>
        </w:rPr>
        <w:t>(5)</w:t>
      </w:r>
      <w:r>
        <w:rPr>
          <w:rFonts w:hint="eastAsia"/>
          <w:highlight w:val="none"/>
          <w:lang w:val="en-US" w:eastAsia="zh-CN"/>
        </w:rPr>
        <w:t>投标人为事业单位或其他组织(不具备法人条件的组织，如</w:t>
      </w:r>
      <w:r>
        <w:rPr>
          <w:rFonts w:hint="eastAsia"/>
          <w:color w:val="auto"/>
          <w:highlight w:val="none"/>
        </w:rPr>
        <w:t>合伙组织、个体工商户、农村承包经营户</w:t>
      </w:r>
      <w:r>
        <w:rPr>
          <w:rFonts w:hint="eastAsia"/>
          <w:color w:val="auto"/>
          <w:highlight w:val="none"/>
          <w:lang w:val="en-US" w:eastAsia="zh-CN"/>
        </w:rPr>
        <w:t>等)</w:t>
      </w:r>
      <w:r>
        <w:rPr>
          <w:rFonts w:hint="eastAsia"/>
          <w:highlight w:val="none"/>
          <w:lang w:val="en-US" w:eastAsia="zh-CN"/>
        </w:rPr>
        <w:t>或自然人时，可提供承诺函</w:t>
      </w:r>
      <w:r>
        <w:rPr>
          <w:rFonts w:hint="eastAsia"/>
          <w:highlight w:val="none"/>
        </w:rPr>
        <w:t>。</w:t>
      </w:r>
    </w:p>
    <w:p>
      <w:pPr>
        <w:pStyle w:val="53"/>
        <w:ind w:firstLine="482"/>
        <w:rPr>
          <w:highlight w:val="none"/>
        </w:rPr>
      </w:pPr>
      <w:r>
        <w:rPr>
          <w:rFonts w:hint="eastAsia"/>
          <w:bCs/>
          <w:highlight w:val="none"/>
        </w:rPr>
        <w:t>注：具有健全的财务会计制度的证明材料中第(1)-(5)项具有同等的投标效力，投标人可根据自身实际情况选择提供其中任意一项。</w:t>
      </w:r>
    </w:p>
    <w:p>
      <w:pPr>
        <w:pStyle w:val="41"/>
        <w:numPr>
          <w:ilvl w:val="1"/>
          <w:numId w:val="25"/>
        </w:numPr>
        <w:ind w:firstLine="482"/>
        <w:rPr>
          <w:b/>
          <w:bCs/>
          <w:highlight w:val="none"/>
        </w:rPr>
      </w:pPr>
      <w:r>
        <w:rPr>
          <w:rFonts w:hint="eastAsia"/>
          <w:b/>
          <w:bCs/>
          <w:highlight w:val="none"/>
        </w:rPr>
        <w:t>投标人具有履行合同所必需的设备和专业技术能力证明材料；</w:t>
      </w:r>
    </w:p>
    <w:p>
      <w:pPr>
        <w:pStyle w:val="33"/>
        <w:rPr>
          <w:highlight w:val="none"/>
        </w:rPr>
      </w:pPr>
      <w:r>
        <w:rPr>
          <w:rFonts w:hint="eastAsia"/>
          <w:highlight w:val="none"/>
        </w:rPr>
        <w:t>提供具有履行合同所必需的设备和专业技术能力的承诺函。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41"/>
        <w:numPr>
          <w:ilvl w:val="1"/>
          <w:numId w:val="25"/>
        </w:numPr>
        <w:ind w:firstLine="482"/>
        <w:rPr>
          <w:b/>
          <w:bCs/>
          <w:highlight w:val="none"/>
        </w:rPr>
      </w:pPr>
      <w:r>
        <w:rPr>
          <w:rFonts w:hint="eastAsia"/>
          <w:b/>
          <w:bCs/>
          <w:highlight w:val="none"/>
        </w:rPr>
        <w:t>投标人具有依法缴纳税收和社会保障资金的良好记录的证明材料；</w:t>
      </w:r>
    </w:p>
    <w:p>
      <w:pPr>
        <w:pStyle w:val="33"/>
        <w:rPr>
          <w:highlight w:val="none"/>
        </w:rPr>
      </w:pPr>
      <w:r>
        <w:rPr>
          <w:rFonts w:hint="eastAsia"/>
          <w:highlight w:val="none"/>
        </w:rPr>
        <w:t>提供具有</w:t>
      </w:r>
      <w:r>
        <w:rPr>
          <w:rFonts w:hint="eastAsia"/>
          <w:highlight w:val="none"/>
          <w:lang w:val="zh-CN"/>
        </w:rPr>
        <w:t>依法缴纳税收和社会保障资金的良好记录</w:t>
      </w:r>
      <w:r>
        <w:rPr>
          <w:rFonts w:hint="eastAsia"/>
          <w:highlight w:val="none"/>
        </w:rPr>
        <w:t>的承诺函。</w:t>
      </w:r>
    </w:p>
    <w:p>
      <w:pPr>
        <w:pStyle w:val="53"/>
        <w:ind w:firstLine="482"/>
        <w:rPr>
          <w:highlight w:val="none"/>
        </w:rPr>
      </w:pPr>
      <w:r>
        <w:rPr>
          <w:rFonts w:hint="eastAsia"/>
          <w:highlight w:val="none"/>
        </w:rPr>
        <w:t>注：格式自拟，或参照《符合&lt;中华人民共和国政府采购法&gt;第二十二条规定的条件的承诺及声明函》的格式提供承诺函。</w:t>
      </w:r>
    </w:p>
    <w:p>
      <w:pPr>
        <w:pStyle w:val="41"/>
        <w:numPr>
          <w:ilvl w:val="1"/>
          <w:numId w:val="25"/>
        </w:numPr>
        <w:ind w:firstLine="482"/>
        <w:rPr>
          <w:b/>
          <w:bCs/>
          <w:highlight w:val="none"/>
        </w:rPr>
      </w:pPr>
      <w:r>
        <w:rPr>
          <w:rFonts w:hint="eastAsia"/>
          <w:b/>
          <w:bCs/>
          <w:highlight w:val="none"/>
        </w:rPr>
        <w:t>投标人参加政府采购活动前三年内，在经营活动中没有重大违法记录的证明材料；</w:t>
      </w:r>
    </w:p>
    <w:p>
      <w:pPr>
        <w:pStyle w:val="33"/>
        <w:rPr>
          <w:highlight w:val="none"/>
        </w:rPr>
      </w:pPr>
      <w:r>
        <w:rPr>
          <w:rFonts w:hint="eastAsia"/>
          <w:highlight w:val="none"/>
        </w:rPr>
        <w:t>提供参加本次政府采购活动前三年内，在经营活动中没有重大违法记录的书面声明(成立不足三年的，从成立之日起计算)。</w:t>
      </w:r>
    </w:p>
    <w:p>
      <w:pPr>
        <w:pStyle w:val="41"/>
        <w:numPr>
          <w:ilvl w:val="1"/>
          <w:numId w:val="25"/>
        </w:numPr>
        <w:ind w:firstLine="482"/>
        <w:rPr>
          <w:rFonts w:cs="宋体"/>
          <w:b/>
          <w:bCs/>
          <w:highlight w:val="none"/>
        </w:rPr>
      </w:pPr>
      <w:r>
        <w:rPr>
          <w:rFonts w:hint="eastAsia"/>
          <w:b/>
          <w:bCs/>
          <w:highlight w:val="none"/>
        </w:rPr>
        <w:t>投标</w:t>
      </w:r>
      <w:r>
        <w:rPr>
          <w:rFonts w:hint="eastAsia" w:cs="宋体"/>
          <w:b/>
          <w:bCs/>
          <w:highlight w:val="none"/>
        </w:rPr>
        <w:t>人</w:t>
      </w:r>
      <w:r>
        <w:rPr>
          <w:rFonts w:hint="eastAsia" w:cs="宋体"/>
          <w:b/>
          <w:bCs/>
          <w:highlight w:val="none"/>
          <w:lang w:val="zh-CN"/>
        </w:rPr>
        <w:t>及其现任法定代表人、主要负责人不得具有行贿犯罪记录</w:t>
      </w:r>
      <w:r>
        <w:rPr>
          <w:rFonts w:hint="eastAsia" w:cs="宋体"/>
          <w:b/>
          <w:bCs/>
          <w:highlight w:val="none"/>
        </w:rPr>
        <w:t>的证明材料</w:t>
      </w:r>
      <w:r>
        <w:rPr>
          <w:rFonts w:hint="eastAsia" w:cs="宋体"/>
          <w:b/>
          <w:bCs/>
          <w:highlight w:val="none"/>
          <w:lang w:val="zh-CN"/>
        </w:rPr>
        <w:t>；</w:t>
      </w:r>
    </w:p>
    <w:p>
      <w:pPr>
        <w:pStyle w:val="53"/>
        <w:jc w:val="both"/>
        <w:rPr>
          <w:b w:val="0"/>
          <w:bCs/>
          <w:highlight w:val="none"/>
        </w:rPr>
      </w:pPr>
      <w:r>
        <w:rPr>
          <w:rFonts w:hint="eastAsia"/>
          <w:b w:val="0"/>
          <w:bCs/>
          <w:highlight w:val="none"/>
        </w:rPr>
        <w:t>1.在投标文件中作出投标人及其现任法定代表人(姓名和身份证号码)、主要负责人(姓名和身份证号码)10年内(</w:t>
      </w:r>
      <w:r>
        <w:rPr>
          <w:rFonts w:hint="eastAsia"/>
          <w:b w:val="0"/>
          <w:bCs/>
          <w:highlight w:val="none"/>
          <w:lang w:val="zh-CN"/>
        </w:rPr>
        <w:t>若</w:t>
      </w:r>
      <w:r>
        <w:rPr>
          <w:rFonts w:hint="eastAsia"/>
          <w:b w:val="0"/>
          <w:bCs/>
          <w:highlight w:val="none"/>
        </w:rPr>
        <w:t>供应商</w:t>
      </w:r>
      <w:r>
        <w:rPr>
          <w:rFonts w:hint="eastAsia"/>
          <w:b w:val="0"/>
          <w:bCs/>
          <w:highlight w:val="none"/>
          <w:lang w:val="zh-CN"/>
        </w:rPr>
        <w:t>成立不足10年的，</w:t>
      </w:r>
      <w:r>
        <w:rPr>
          <w:rFonts w:hint="eastAsia"/>
          <w:b w:val="0"/>
          <w:bCs/>
          <w:highlight w:val="none"/>
        </w:rPr>
        <w:t>承诺期限为</w:t>
      </w:r>
      <w:r>
        <w:rPr>
          <w:rFonts w:hint="eastAsia"/>
          <w:b w:val="0"/>
          <w:bCs/>
          <w:highlight w:val="none"/>
          <w:lang w:val="zh-CN"/>
        </w:rPr>
        <w:t>成立之日起</w:t>
      </w:r>
      <w:r>
        <w:rPr>
          <w:rFonts w:hint="eastAsia"/>
          <w:b w:val="0"/>
          <w:bCs/>
          <w:highlight w:val="none"/>
        </w:rPr>
        <w:t>至今)无行贿犯罪记录的承诺；</w:t>
      </w:r>
    </w:p>
    <w:p>
      <w:pPr>
        <w:pStyle w:val="53"/>
        <w:jc w:val="both"/>
        <w:rPr>
          <w:b w:val="0"/>
          <w:bCs/>
          <w:highlight w:val="none"/>
          <w:lang w:val="zh-CN"/>
        </w:rPr>
      </w:pPr>
      <w:r>
        <w:rPr>
          <w:rFonts w:hint="eastAsia"/>
          <w:b w:val="0"/>
          <w:bCs/>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highlight w:val="none"/>
          <w:lang w:val="zh-CN"/>
        </w:rPr>
        <w:t>。</w:t>
      </w:r>
    </w:p>
    <w:p>
      <w:pPr>
        <w:pStyle w:val="32"/>
        <w:numPr>
          <w:ilvl w:val="3"/>
          <w:numId w:val="0"/>
        </w:numPr>
        <w:ind w:firstLine="482" w:firstLineChars="200"/>
        <w:rPr>
          <w:b/>
          <w:bCs/>
          <w:highlight w:val="none"/>
        </w:rPr>
      </w:pPr>
      <w:r>
        <w:rPr>
          <w:rFonts w:hint="eastAsia"/>
          <w:b/>
          <w:bCs/>
          <w:highlight w:val="none"/>
        </w:rPr>
        <w:t>注：①投标人采用提供承诺函方式响应的，其内容必须符合上述第1款的要求，否则将视为无效承诺；②如投标人未提供有效承诺函，且未</w:t>
      </w:r>
      <w:r>
        <w:rPr>
          <w:rFonts w:hint="eastAsia"/>
          <w:b/>
          <w:highlight w:val="none"/>
        </w:rPr>
        <w:t>在投标文件中书面载明</w:t>
      </w:r>
      <w:r>
        <w:rPr>
          <w:rFonts w:hint="eastAsia"/>
          <w:b/>
          <w:bCs/>
          <w:highlight w:val="none"/>
        </w:rPr>
        <w:t>其“现任法定代表人”(姓名和身份证号码)、“主要负责人”(姓名和身份证号码)信息的，将被视为无效投标。</w:t>
      </w:r>
    </w:p>
    <w:p>
      <w:pPr>
        <w:pStyle w:val="41"/>
        <w:numPr>
          <w:ilvl w:val="1"/>
          <w:numId w:val="25"/>
        </w:numPr>
        <w:ind w:firstLine="482"/>
        <w:rPr>
          <w:b/>
          <w:bCs/>
          <w:highlight w:val="none"/>
        </w:rPr>
      </w:pPr>
      <w:r>
        <w:rPr>
          <w:rFonts w:hint="eastAsia"/>
          <w:b/>
          <w:bCs/>
          <w:highlight w:val="none"/>
        </w:rPr>
        <w:t>法定代表人/单位负责人授权书原件；</w:t>
      </w:r>
    </w:p>
    <w:p>
      <w:pPr>
        <w:pStyle w:val="53"/>
        <w:ind w:firstLine="482"/>
        <w:rPr>
          <w:highlight w:val="none"/>
        </w:rPr>
      </w:pPr>
      <w:r>
        <w:rPr>
          <w:rFonts w:hint="eastAsia"/>
          <w:highlight w:val="none"/>
        </w:rPr>
        <w:t>注：①附法定代表人/单位负责人和被授权人身份证正反面复印件；②法定代表人/单位负责人亲自参与投标时不需要提供。</w:t>
      </w:r>
    </w:p>
    <w:p>
      <w:pPr>
        <w:pStyle w:val="41"/>
        <w:numPr>
          <w:ilvl w:val="1"/>
          <w:numId w:val="25"/>
        </w:numPr>
        <w:ind w:firstLine="482"/>
        <w:rPr>
          <w:b/>
          <w:bCs/>
          <w:highlight w:val="none"/>
        </w:rPr>
      </w:pPr>
      <w:r>
        <w:rPr>
          <w:rFonts w:hint="eastAsia"/>
          <w:b/>
          <w:bCs/>
          <w:highlight w:val="none"/>
        </w:rPr>
        <w:t>法定代表人/单位负责人证明书；</w:t>
      </w:r>
    </w:p>
    <w:p>
      <w:pPr>
        <w:pStyle w:val="53"/>
        <w:ind w:firstLine="482"/>
        <w:rPr>
          <w:highlight w:val="none"/>
        </w:rPr>
      </w:pPr>
      <w:r>
        <w:rPr>
          <w:rFonts w:hint="eastAsia"/>
          <w:highlight w:val="none"/>
        </w:rPr>
        <w:t>注：①附法定代表人/单位负责人身份证正反面复印件；②法定代表人/单位负责人亲自参加投标时提供本证明书。</w:t>
      </w:r>
    </w:p>
    <w:p>
      <w:pPr>
        <w:pStyle w:val="41"/>
        <w:numPr>
          <w:ilvl w:val="1"/>
          <w:numId w:val="25"/>
        </w:numPr>
        <w:ind w:firstLine="482"/>
        <w:rPr>
          <w:b/>
          <w:bCs/>
          <w:highlight w:val="none"/>
        </w:rPr>
      </w:pPr>
      <w:r>
        <w:rPr>
          <w:rFonts w:hint="eastAsia"/>
          <w:b/>
          <w:bCs/>
          <w:highlight w:val="none"/>
        </w:rPr>
        <w:t>法律、</w:t>
      </w:r>
      <w:r>
        <w:rPr>
          <w:highlight w:val="none"/>
        </w:rPr>
        <w:fldChar w:fldCharType="begin"/>
      </w:r>
      <w:r>
        <w:rPr>
          <w:highlight w:val="none"/>
        </w:rPr>
        <w:instrText xml:space="preserve"> HYPERLINK "http://www.lawtime.cn/info/sifakaoshi/xingzhengfa/" \t "_blank" </w:instrText>
      </w:r>
      <w:r>
        <w:rPr>
          <w:highlight w:val="none"/>
        </w:rPr>
        <w:fldChar w:fldCharType="separate"/>
      </w:r>
      <w:r>
        <w:rPr>
          <w:rFonts w:hint="eastAsia"/>
          <w:b/>
          <w:bCs/>
          <w:highlight w:val="none"/>
        </w:rPr>
        <w:t>行政法</w:t>
      </w:r>
      <w:r>
        <w:rPr>
          <w:rFonts w:hint="eastAsia"/>
          <w:b/>
          <w:bCs/>
          <w:highlight w:val="none"/>
        </w:rPr>
        <w:fldChar w:fldCharType="end"/>
      </w:r>
      <w:r>
        <w:rPr>
          <w:rFonts w:hint="eastAsia"/>
          <w:b/>
          <w:bCs/>
          <w:highlight w:val="none"/>
        </w:rPr>
        <w:t>规规定的其他条件的证明材料；</w:t>
      </w:r>
    </w:p>
    <w:p>
      <w:pPr>
        <w:pStyle w:val="33"/>
        <w:rPr>
          <w:highlight w:val="none"/>
        </w:rPr>
      </w:pPr>
      <w:r>
        <w:rPr>
          <w:rFonts w:hint="eastAsia"/>
          <w:highlight w:val="none"/>
        </w:rPr>
        <w:t>提供符合法律、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highlight w:val="none"/>
        </w:rPr>
        <w:t>行政法</w:t>
      </w:r>
      <w:r>
        <w:rPr>
          <w:rFonts w:hint="eastAsia"/>
          <w:highlight w:val="none"/>
        </w:rPr>
        <w:fldChar w:fldCharType="end"/>
      </w:r>
      <w:r>
        <w:rPr>
          <w:rFonts w:hint="eastAsia"/>
          <w:highlight w:val="none"/>
        </w:rPr>
        <w:t>规规定的其他条件的承诺函。</w:t>
      </w:r>
    </w:p>
    <w:p>
      <w:pPr>
        <w:pStyle w:val="41"/>
        <w:numPr>
          <w:ilvl w:val="1"/>
          <w:numId w:val="25"/>
        </w:numPr>
        <w:ind w:firstLine="482"/>
        <w:rPr>
          <w:b/>
          <w:bCs/>
          <w:highlight w:val="none"/>
        </w:rPr>
      </w:pPr>
      <w:r>
        <w:rPr>
          <w:rFonts w:hint="eastAsia"/>
          <w:b/>
          <w:bCs/>
          <w:highlight w:val="none"/>
        </w:rPr>
        <w:t>根据采购项目的特殊要求，规定供应商的特定条件的证明材料；</w:t>
      </w:r>
    </w:p>
    <w:p>
      <w:pPr>
        <w:pStyle w:val="33"/>
        <w:rPr>
          <w:rFonts w:hint="eastAsia"/>
          <w:highlight w:val="none"/>
        </w:rPr>
      </w:pPr>
      <w:r>
        <w:rPr>
          <w:rFonts w:hint="eastAsia"/>
          <w:bCs/>
          <w:highlight w:val="none"/>
        </w:rPr>
        <w:t>提供未与其他投标供应商组成联合体参与本项目投标的承诺函</w:t>
      </w:r>
      <w:r>
        <w:rPr>
          <w:rFonts w:hint="eastAsia"/>
          <w:highlight w:val="none"/>
        </w:rPr>
        <w:t>。</w:t>
      </w:r>
    </w:p>
    <w:p>
      <w:pPr>
        <w:pStyle w:val="33"/>
        <w:rPr>
          <w:rFonts w:hint="eastAsia"/>
          <w:b/>
          <w:bCs/>
          <w:highlight w:val="none"/>
        </w:rPr>
      </w:pPr>
      <w:r>
        <w:rPr>
          <w:rFonts w:hint="eastAsia"/>
          <w:b/>
          <w:bCs/>
          <w:highlight w:val="none"/>
        </w:rPr>
        <w:t>注：格式自拟，或参照《符合&lt;中华人民共和国政府采购法&gt;第二十二条规定的条件的承诺及声明函》的格式提供承诺函。</w:t>
      </w:r>
    </w:p>
    <w:p>
      <w:pPr>
        <w:pStyle w:val="53"/>
        <w:ind w:firstLine="482"/>
        <w:rPr>
          <w:highlight w:val="none"/>
        </w:rPr>
      </w:pPr>
      <w:r>
        <w:rPr>
          <w:rFonts w:hint="eastAsia"/>
          <w:highlight w:val="none"/>
        </w:rPr>
        <w:t>备注：①以上承诺及声明函可参照第三章投标文件格式中相关格式或自拟格式填写均有效。</w:t>
      </w:r>
    </w:p>
    <w:p>
      <w:pPr>
        <w:pStyle w:val="53"/>
        <w:ind w:firstLine="482"/>
        <w:rPr>
          <w:highlight w:val="none"/>
        </w:rPr>
      </w:pPr>
      <w:r>
        <w:rPr>
          <w:rFonts w:hint="eastAsia"/>
          <w:highlight w:val="none"/>
        </w:rPr>
        <w:t>②以上要求提供的相关证明材料须加盖投标人电子签章，否则其资格审查作未通过处理。</w:t>
      </w:r>
    </w:p>
    <w:p>
      <w:pPr>
        <w:pStyle w:val="53"/>
        <w:ind w:firstLine="482"/>
        <w:rPr>
          <w:highlight w:val="none"/>
        </w:rPr>
      </w:pPr>
      <w:r>
        <w:rPr>
          <w:rFonts w:hint="eastAsia"/>
          <w:highlight w:val="none"/>
        </w:rPr>
        <w:t>③本项目资格审查仅限于本章涉及的所有内容，若供应商未按照以上要求提供齐全，其资格审查作未通过处理。</w:t>
      </w:r>
    </w:p>
    <w:p>
      <w:pPr>
        <w:pStyle w:val="53"/>
        <w:ind w:firstLine="482"/>
        <w:rPr>
          <w:highlight w:val="none"/>
        </w:rPr>
      </w:pPr>
      <w:r>
        <w:rPr>
          <w:rFonts w:hint="eastAsia"/>
          <w:highlight w:val="none"/>
        </w:rPr>
        <w:t>④投标人应对其所提供的资格证明材料来源的合法性、真实性承担法律责任。</w:t>
      </w:r>
    </w:p>
    <w:p>
      <w:pPr>
        <w:pStyle w:val="53"/>
        <w:ind w:firstLine="482"/>
        <w:rPr>
          <w:highlight w:val="none"/>
        </w:rPr>
      </w:pPr>
      <w:r>
        <w:rPr>
          <w:rFonts w:hint="eastAsia"/>
          <w:highlight w:val="none"/>
        </w:rPr>
        <w:t>⑤以上要求提供的相关证明材料应当结合采购项目具体情况和投标人的组织机构性质确定，不得一概而论。</w:t>
      </w:r>
    </w:p>
    <w:p>
      <w:pPr>
        <w:pStyle w:val="30"/>
        <w:numPr>
          <w:ilvl w:val="1"/>
          <w:numId w:val="12"/>
        </w:numPr>
        <w:ind w:firstLine="482"/>
        <w:rPr>
          <w:highlight w:val="none"/>
        </w:rPr>
      </w:pPr>
      <w:bookmarkStart w:id="982" w:name="_Toc14213"/>
      <w:bookmarkStart w:id="983" w:name="_Toc1139"/>
      <w:r>
        <w:rPr>
          <w:rFonts w:hint="eastAsia"/>
          <w:highlight w:val="none"/>
        </w:rPr>
        <w:t>审查程序</w:t>
      </w:r>
      <w:bookmarkEnd w:id="978"/>
      <w:bookmarkEnd w:id="979"/>
      <w:bookmarkEnd w:id="980"/>
      <w:bookmarkEnd w:id="982"/>
      <w:bookmarkEnd w:id="983"/>
    </w:p>
    <w:p>
      <w:pPr>
        <w:pStyle w:val="41"/>
        <w:numPr>
          <w:ilvl w:val="1"/>
          <w:numId w:val="26"/>
        </w:numPr>
        <w:ind w:firstLine="480"/>
        <w:rPr>
          <w:highlight w:val="none"/>
        </w:rPr>
      </w:pPr>
      <w:r>
        <w:rPr>
          <w:rFonts w:hint="eastAsia"/>
          <w:highlight w:val="none"/>
        </w:rPr>
        <w:t>根据《政府采购货物和服务招标投标管理办法》(财政部令第87号)第四十四条对投标人的资格进行审查。</w:t>
      </w:r>
    </w:p>
    <w:p>
      <w:pPr>
        <w:pStyle w:val="41"/>
        <w:numPr>
          <w:ilvl w:val="1"/>
          <w:numId w:val="26"/>
        </w:numPr>
        <w:ind w:firstLine="480"/>
        <w:rPr>
          <w:highlight w:val="none"/>
        </w:rPr>
      </w:pPr>
      <w:r>
        <w:rPr>
          <w:rFonts w:hint="eastAsia"/>
          <w:highlight w:val="none"/>
        </w:rPr>
        <w:t>本项目由采购人或者采购代理机构依法对投标人的资格进行审查，并出具书面的资格性审查结果。</w:t>
      </w:r>
    </w:p>
    <w:p>
      <w:pPr>
        <w:pStyle w:val="41"/>
        <w:numPr>
          <w:ilvl w:val="1"/>
          <w:numId w:val="26"/>
        </w:numPr>
        <w:ind w:firstLine="480"/>
        <w:rPr>
          <w:highlight w:val="none"/>
        </w:rPr>
      </w:pPr>
      <w:r>
        <w:rPr>
          <w:rFonts w:hint="eastAsia"/>
          <w:highlight w:val="none"/>
        </w:rPr>
        <w:t>通过资格审查的投标人＜3家，不得评标，采购失败。</w:t>
      </w:r>
    </w:p>
    <w:p>
      <w:pPr>
        <w:pStyle w:val="41"/>
        <w:numPr>
          <w:ilvl w:val="1"/>
          <w:numId w:val="26"/>
        </w:numPr>
        <w:ind w:firstLine="480"/>
        <w:rPr>
          <w:highlight w:val="none"/>
        </w:rPr>
      </w:pPr>
      <w:r>
        <w:rPr>
          <w:rFonts w:hint="eastAsia"/>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41"/>
        <w:numPr>
          <w:ilvl w:val="1"/>
          <w:numId w:val="0"/>
        </w:numPr>
        <w:ind w:firstLine="482" w:firstLineChars="200"/>
        <w:rPr>
          <w:b/>
          <w:bCs/>
          <w:highlight w:val="none"/>
        </w:rPr>
      </w:pPr>
      <w:r>
        <w:rPr>
          <w:rFonts w:hint="eastAsia"/>
          <w:b/>
          <w:bCs/>
          <w:highlight w:val="none"/>
        </w:rPr>
        <w:t>注：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29"/>
        <w:rPr>
          <w:highlight w:val="none"/>
        </w:rPr>
      </w:pPr>
    </w:p>
    <w:p>
      <w:pPr>
        <w:pStyle w:val="28"/>
        <w:numPr>
          <w:ilvl w:val="0"/>
          <w:numId w:val="12"/>
        </w:numPr>
        <w:spacing w:before="120" w:after="120"/>
        <w:rPr>
          <w:highlight w:val="none"/>
        </w:rPr>
      </w:pPr>
      <w:r>
        <w:rPr>
          <w:rFonts w:hint="eastAsia"/>
          <w:highlight w:val="none"/>
        </w:rPr>
        <w:br w:type="page"/>
      </w:r>
      <w:bookmarkEnd w:id="981"/>
      <w:bookmarkStart w:id="984" w:name="_Toc5955"/>
      <w:bookmarkStart w:id="985" w:name="_Toc10393"/>
      <w:bookmarkStart w:id="986" w:name="_Toc14530"/>
      <w:r>
        <w:rPr>
          <w:rFonts w:hint="eastAsia"/>
          <w:highlight w:val="none"/>
        </w:rPr>
        <w:t>招标项目技术、服务、政府采购合同内容条款及其他商务要求</w:t>
      </w:r>
      <w:bookmarkEnd w:id="984"/>
      <w:bookmarkEnd w:id="985"/>
      <w:bookmarkEnd w:id="986"/>
    </w:p>
    <w:p>
      <w:pPr>
        <w:numPr>
          <w:ilvl w:val="1"/>
          <w:numId w:val="27"/>
        </w:numPr>
        <w:wordWrap w:val="0"/>
        <w:topLinePunct/>
        <w:ind w:firstLine="482" w:firstLineChars="200"/>
        <w:outlineLvl w:val="1"/>
        <w:rPr>
          <w:b/>
          <w:highlight w:val="none"/>
        </w:rPr>
      </w:pPr>
      <w:bookmarkStart w:id="987" w:name="_Toc3099"/>
      <w:bookmarkStart w:id="988" w:name="_Toc6487"/>
      <w:bookmarkStart w:id="989" w:name="_Toc15405"/>
      <w:bookmarkStart w:id="990" w:name="_Toc5869_WPSOffice_Level2"/>
      <w:bookmarkStart w:id="991" w:name="_Toc28932"/>
      <w:bookmarkStart w:id="992" w:name="_Toc27469"/>
      <w:bookmarkStart w:id="993" w:name="_Toc1684"/>
      <w:bookmarkStart w:id="994" w:name="_Toc307564899"/>
      <w:bookmarkStart w:id="995" w:name="_Toc307501157"/>
      <w:bookmarkStart w:id="996" w:name="_Toc12025"/>
      <w:bookmarkStart w:id="997" w:name="_Toc309897566"/>
      <w:bookmarkStart w:id="998" w:name="_Toc319439948"/>
      <w:bookmarkStart w:id="999" w:name="_Toc32159"/>
      <w:bookmarkStart w:id="1000" w:name="_Toc327196343"/>
      <w:bookmarkStart w:id="1001" w:name="_Toc23360"/>
      <w:bookmarkStart w:id="1002" w:name="_Toc1839"/>
      <w:bookmarkStart w:id="1003" w:name="_Toc308084648"/>
      <w:bookmarkStart w:id="1004" w:name="_Toc29864"/>
      <w:bookmarkStart w:id="1005" w:name="_Toc308188201"/>
      <w:bookmarkStart w:id="1006" w:name="_Toc1541"/>
      <w:bookmarkStart w:id="1007" w:name="_Toc319440192"/>
      <w:bookmarkStart w:id="1008" w:name="_Toc217446060"/>
      <w:bookmarkStart w:id="1009" w:name="_Toc217446099"/>
      <w:r>
        <w:rPr>
          <w:rFonts w:hint="eastAsia"/>
          <w:b/>
          <w:highlight w:val="none"/>
        </w:rPr>
        <w:t>项目概述</w:t>
      </w:r>
      <w:bookmarkEnd w:id="987"/>
      <w:bookmarkEnd w:id="988"/>
      <w:bookmarkEnd w:id="989"/>
      <w:bookmarkEnd w:id="990"/>
    </w:p>
    <w:p>
      <w:pPr>
        <w:wordWrap w:val="0"/>
        <w:topLinePunct/>
        <w:ind w:firstLine="480" w:firstLineChars="200"/>
        <w:rPr>
          <w:snapToGrid w:val="0"/>
          <w:highlight w:val="none"/>
        </w:rPr>
      </w:pPr>
      <w:r>
        <w:rPr>
          <w:rFonts w:hint="eastAsia"/>
          <w:snapToGrid w:val="0"/>
          <w:highlight w:val="none"/>
        </w:rPr>
        <w:t>进一步提升城市轨道交通专业的产、学、研能力，虚实结合，提升城市轨道交通信号工高技能人才培养水平。</w:t>
      </w:r>
    </w:p>
    <w:p>
      <w:pPr>
        <w:numPr>
          <w:ilvl w:val="1"/>
          <w:numId w:val="27"/>
        </w:numPr>
        <w:wordWrap w:val="0"/>
        <w:topLinePunct/>
        <w:ind w:firstLine="482" w:firstLineChars="200"/>
        <w:outlineLvl w:val="1"/>
        <w:rPr>
          <w:b/>
          <w:highlight w:val="none"/>
        </w:rPr>
      </w:pPr>
      <w:bookmarkStart w:id="1010" w:name="_Toc2567_WPSOffice_Level2"/>
      <w:bookmarkStart w:id="1011" w:name="_Toc8728"/>
      <w:bookmarkStart w:id="1012" w:name="_Toc25039"/>
      <w:bookmarkStart w:id="1013" w:name="_Toc503"/>
      <w:r>
        <w:rPr>
          <w:rFonts w:hint="eastAsia"/>
          <w:b/>
          <w:highlight w:val="none"/>
        </w:rPr>
        <w:t>采购</w:t>
      </w:r>
      <w:bookmarkEnd w:id="1010"/>
      <w:bookmarkEnd w:id="1011"/>
      <w:bookmarkEnd w:id="1012"/>
      <w:r>
        <w:rPr>
          <w:rFonts w:hint="eastAsia"/>
          <w:b/>
          <w:highlight w:val="none"/>
        </w:rPr>
        <w:t>标的</w:t>
      </w:r>
      <w:bookmarkEnd w:id="1013"/>
    </w:p>
    <w:tbl>
      <w:tblPr>
        <w:tblStyle w:val="22"/>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536"/>
        <w:gridCol w:w="980"/>
        <w:gridCol w:w="1041"/>
        <w:gridCol w:w="1416"/>
        <w:gridCol w:w="2002"/>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bookmarkStart w:id="1014" w:name="_Toc12968"/>
            <w:bookmarkStart w:id="1015" w:name="_Toc20099"/>
            <w:r>
              <w:rPr>
                <w:rFonts w:hint="eastAsia" w:ascii="宋体" w:hAnsi="宋体" w:eastAsia="宋体" w:cs="宋体"/>
                <w:b/>
                <w:bCs/>
                <w:sz w:val="21"/>
                <w:szCs w:val="21"/>
                <w:highlight w:val="none"/>
              </w:rPr>
              <w:t>序号</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采购设备名称</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单位</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是否是核心产品</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所属行业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正线联锁控制柜</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是</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正线继电器组合架</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是</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屏蔽门系统及就地控制盘</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车厢系统</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轨道平台系统</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正线操作系统控制台</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城市轨道交通信号工技术智能培训考核软件</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软件和信息技术服务业</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综合布线</w:t>
            </w:r>
          </w:p>
        </w:tc>
        <w:tc>
          <w:tcPr>
            <w:tcW w:w="49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1019"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其他未列明行业 </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highlight w:val="none"/>
              </w:rPr>
            </w:pPr>
          </w:p>
        </w:tc>
      </w:tr>
    </w:tbl>
    <w:p>
      <w:pPr>
        <w:numPr>
          <w:ilvl w:val="1"/>
          <w:numId w:val="27"/>
        </w:numPr>
        <w:wordWrap w:val="0"/>
        <w:topLinePunct/>
        <w:ind w:firstLine="482" w:firstLineChars="200"/>
        <w:outlineLvl w:val="1"/>
        <w:rPr>
          <w:b/>
          <w:highlight w:val="none"/>
        </w:rPr>
      </w:pPr>
      <w:bookmarkStart w:id="1016" w:name="_Toc24633"/>
      <w:r>
        <w:rPr>
          <w:rFonts w:hint="eastAsia"/>
          <w:b/>
          <w:highlight w:val="none"/>
        </w:rPr>
        <w:t>技术参数及配置要求</w:t>
      </w:r>
      <w:bookmarkEnd w:id="1014"/>
      <w:bookmarkEnd w:id="1015"/>
      <w:bookmarkEnd w:id="1016"/>
    </w:p>
    <w:tbl>
      <w:tblPr>
        <w:tblStyle w:val="2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309"/>
        <w:gridCol w:w="7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349" w:type="pct"/>
            <w:vAlign w:val="center"/>
          </w:tcPr>
          <w:p>
            <w:pPr>
              <w:wordWrap w:val="0"/>
              <w:adjustRightInd/>
              <w:snapToGrid/>
              <w:spacing w:line="320" w:lineRule="exact"/>
              <w:jc w:val="center"/>
              <w:textAlignment w:val="center"/>
              <w:rPr>
                <w:rFonts w:cs="宋体"/>
                <w:b/>
                <w:bCs/>
                <w:sz w:val="21"/>
                <w:szCs w:val="21"/>
                <w:highlight w:val="none"/>
              </w:rPr>
            </w:pPr>
            <w:bookmarkStart w:id="1017" w:name="_Hlk82429658"/>
            <w:r>
              <w:rPr>
                <w:rFonts w:hint="eastAsia" w:cs="宋体"/>
                <w:b/>
                <w:bCs/>
                <w:sz w:val="21"/>
                <w:szCs w:val="21"/>
                <w:highlight w:val="none"/>
              </w:rPr>
              <w:t>序号</w:t>
            </w:r>
          </w:p>
        </w:tc>
        <w:tc>
          <w:tcPr>
            <w:tcW w:w="658" w:type="pct"/>
            <w:vAlign w:val="center"/>
          </w:tcPr>
          <w:p>
            <w:pPr>
              <w:wordWrap w:val="0"/>
              <w:adjustRightInd/>
              <w:snapToGrid/>
              <w:spacing w:line="320" w:lineRule="exact"/>
              <w:jc w:val="center"/>
              <w:textAlignment w:val="center"/>
              <w:rPr>
                <w:rFonts w:cs="宋体"/>
                <w:b/>
                <w:bCs/>
                <w:sz w:val="21"/>
                <w:szCs w:val="21"/>
                <w:highlight w:val="none"/>
              </w:rPr>
            </w:pPr>
            <w:r>
              <w:rPr>
                <w:rFonts w:hint="eastAsia" w:cs="宋体"/>
                <w:b/>
                <w:bCs/>
                <w:sz w:val="21"/>
                <w:szCs w:val="21"/>
                <w:highlight w:val="none"/>
              </w:rPr>
              <w:t>标的名称</w:t>
            </w:r>
          </w:p>
        </w:tc>
        <w:tc>
          <w:tcPr>
            <w:tcW w:w="3991" w:type="pct"/>
            <w:vAlign w:val="center"/>
          </w:tcPr>
          <w:p>
            <w:pPr>
              <w:wordWrap w:val="0"/>
              <w:adjustRightInd/>
              <w:snapToGrid/>
              <w:spacing w:line="320" w:lineRule="exact"/>
              <w:ind w:left="24" w:leftChars="10" w:right="24" w:rightChars="10"/>
              <w:jc w:val="center"/>
              <w:textAlignment w:val="center"/>
              <w:rPr>
                <w:rFonts w:cs="宋体"/>
                <w:b/>
                <w:bCs/>
                <w:sz w:val="21"/>
                <w:szCs w:val="21"/>
                <w:highlight w:val="none"/>
              </w:rPr>
            </w:pPr>
            <w:r>
              <w:rPr>
                <w:rFonts w:hint="eastAsia" w:cs="宋体"/>
                <w:b/>
                <w:bCs/>
                <w:sz w:val="21"/>
                <w:szCs w:val="21"/>
                <w:highlight w:val="none"/>
              </w:rPr>
              <w:t>技术参数及配置要求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1</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正线联锁控制柜</w:t>
            </w:r>
          </w:p>
        </w:tc>
        <w:tc>
          <w:tcPr>
            <w:tcW w:w="3991" w:type="pct"/>
          </w:tcPr>
          <w:p>
            <w:pPr>
              <w:spacing w:line="320" w:lineRule="exact"/>
              <w:ind w:left="28"/>
              <w:rPr>
                <w:rFonts w:cs="宋体"/>
                <w:sz w:val="21"/>
                <w:szCs w:val="21"/>
                <w:highlight w:val="none"/>
              </w:rPr>
            </w:pPr>
            <w:r>
              <w:rPr>
                <w:rFonts w:hint="eastAsia" w:cs="宋体"/>
                <w:sz w:val="21"/>
                <w:szCs w:val="21"/>
                <w:highlight w:val="none"/>
              </w:rPr>
              <w:t>1.★正线联锁控制柜包含计算机联锁系统、电源屏、计轴系统、智能故障控制箱，可配合轨道交通室外设备(信号机、计轴系统、屏蔽门系统)，实现对信号机、计轴设备、屏蔽门系统的操作、故障设置和检修</w:t>
            </w:r>
            <w:r>
              <w:rPr>
                <w:rFonts w:hint="eastAsia" w:cs="宋体"/>
                <w:b/>
                <w:bCs/>
                <w:kern w:val="0"/>
                <w:sz w:val="21"/>
                <w:szCs w:val="21"/>
                <w:highlight w:val="none"/>
              </w:rPr>
              <w:t>(说明：提供投标产品制造商公开发布的印刷资料或说明书或白皮书或国家认可的检测机构出具的检测报告等类似资料)</w:t>
            </w:r>
            <w:r>
              <w:rPr>
                <w:rFonts w:hint="eastAsia" w:cs="宋体"/>
                <w:kern w:val="0"/>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2.柜体采用冷轧钢板制作，厚度≥1.5mm，具有指示灯面板，采用符合国标铝合金材质，厚度≥1.5mm，指示灯包括但不限于电源指示灯、通信指示灯、运行指示灯、工作指示、错误指示，能根据设备运行情况自动给出正确的显示。</w:t>
            </w:r>
          </w:p>
          <w:p>
            <w:pPr>
              <w:spacing w:line="320" w:lineRule="exact"/>
              <w:ind w:left="28"/>
              <w:rPr>
                <w:rFonts w:cs="宋体"/>
                <w:sz w:val="21"/>
                <w:szCs w:val="21"/>
                <w:highlight w:val="none"/>
              </w:rPr>
            </w:pPr>
            <w:r>
              <w:rPr>
                <w:rFonts w:hint="eastAsia" w:cs="宋体"/>
                <w:sz w:val="21"/>
                <w:szCs w:val="21"/>
                <w:highlight w:val="none"/>
              </w:rPr>
              <w:t>3.计算机联锁系统采用继电式信号联锁系统，能够接收联锁指令，至少能够模拟联锁排列、取消进路、单操、封锁、解封等操作。与室内外设备相连接，驱动室外信号设备动作，对信号机设备、道岔设备、计轴区段实时监测并在正线操作系统控制台操作界面显示状态。</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4.计轴系统与安装于钢轨上的计轴磁头连接，能够检测列车并给出区段占用信息，控制轨道继电器动作，同时可实现计轴复位或预复位功能；能根据放大板传送的车轮传感器信息，判断列车行进方向。配合智能故障控制箱可设置故障，实现计轴系统控制电路故障处理与检修。</w:t>
            </w:r>
          </w:p>
          <w:p>
            <w:pPr>
              <w:spacing w:line="320" w:lineRule="exact"/>
              <w:ind w:left="28"/>
              <w:rPr>
                <w:rFonts w:cs="宋体"/>
                <w:sz w:val="21"/>
                <w:szCs w:val="21"/>
                <w:highlight w:val="none"/>
              </w:rPr>
            </w:pPr>
            <w:r>
              <w:rPr>
                <w:rFonts w:hint="eastAsia" w:cs="宋体"/>
                <w:sz w:val="21"/>
                <w:szCs w:val="21"/>
                <w:highlight w:val="none"/>
              </w:rPr>
              <w:t>5.电源屏采用冷轧钢板制作，厚度≥1.5mm</w:t>
            </w:r>
          </w:p>
          <w:p>
            <w:pPr>
              <w:spacing w:line="320" w:lineRule="exact"/>
              <w:ind w:left="28"/>
              <w:rPr>
                <w:rFonts w:cs="宋体"/>
                <w:sz w:val="21"/>
                <w:szCs w:val="21"/>
                <w:highlight w:val="none"/>
              </w:rPr>
            </w:pPr>
            <w:r>
              <w:rPr>
                <w:rFonts w:hint="eastAsia" w:cs="宋体"/>
                <w:sz w:val="21"/>
                <w:szCs w:val="21"/>
                <w:highlight w:val="none"/>
              </w:rPr>
              <w:t>6.输入电压：AC380V±5%；频率：50Hz；相电压不平衡度：≤5%；电压波形失真度：≤5%；额定输出电压：AC380V/AC220V/AC110V/DC24V；额定输出电流：≥10A；稳压精度：≤±0.5%；功率因数：≥0.95%(满负荷输出)，具有过载、断相、短路、漏电保护功能。</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7.具有24V直流电源模块，≥3组，输入电压允许范围：≥190～260VAC；输入电流：≥8A (无浪涌)；输出电压：24VDC/10A；负载调整率：≤±0.5%；软启动时间：≤5s；动态响应时间：≤100uS；可以显示电源模块输出电压、电流；设置有输出电压调节旋钮。</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8.具有110V交流电源模块，≥1组，要求稳压范围：110V±10%；容量：≥2KVA；稳压精度：≤±1%；响应时间：≤4ms/step。</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9.具有220V交流电源模块，≥1组，要求稳压范围：220V±10%；容量：≥2KVA；稳压精度：≤±1%；响应时间：≤4ms/step；可以显示电源模块输出电压、电流。</w:t>
            </w:r>
          </w:p>
          <w:p>
            <w:pPr>
              <w:pStyle w:val="82"/>
              <w:snapToGrid w:val="0"/>
              <w:spacing w:line="320" w:lineRule="exact"/>
              <w:ind w:left="28"/>
              <w:jc w:val="both"/>
              <w:rPr>
                <w:color w:val="auto"/>
                <w:kern w:val="2"/>
                <w:sz w:val="21"/>
                <w:szCs w:val="21"/>
                <w:highlight w:val="none"/>
              </w:rPr>
            </w:pPr>
            <w:r>
              <w:rPr>
                <w:rFonts w:hint="eastAsia"/>
                <w:color w:val="auto"/>
                <w:kern w:val="2"/>
                <w:sz w:val="21"/>
                <w:szCs w:val="21"/>
                <w:highlight w:val="none"/>
              </w:rPr>
              <w:t>10.具有380V交流电源模块，≥1组，要求稳压范围：380V±10%；容量：≥2KVA；稳压精度：≤±1%；响应时间：≤4ms/step；可以显示电源模块输出电压、电流。</w:t>
            </w:r>
          </w:p>
          <w:p>
            <w:pPr>
              <w:pStyle w:val="82"/>
              <w:snapToGrid w:val="0"/>
              <w:spacing w:line="320" w:lineRule="exact"/>
              <w:ind w:left="28"/>
              <w:jc w:val="both"/>
              <w:rPr>
                <w:color w:val="auto"/>
                <w:kern w:val="2"/>
                <w:sz w:val="21"/>
                <w:szCs w:val="21"/>
                <w:highlight w:val="none"/>
              </w:rPr>
            </w:pPr>
            <w:r>
              <w:rPr>
                <w:rFonts w:hint="eastAsia"/>
                <w:sz w:val="21"/>
                <w:szCs w:val="21"/>
                <w:highlight w:val="none"/>
              </w:rPr>
              <w:t>11.智能故障控制箱外观要求采用冷轧钢板制作，厚度≥1.5mm。面板采用符合国标标准的铝合金型材，厚度≥1.5mm。工作电压使用DC24V±10%，电源具备过流，过压，防雷，防静电功能，最大工作电流不超过480mA，工作电流约为120mA。</w:t>
            </w:r>
          </w:p>
          <w:p>
            <w:pPr>
              <w:spacing w:line="320" w:lineRule="exact"/>
              <w:ind w:left="28"/>
              <w:rPr>
                <w:rFonts w:cs="宋体"/>
                <w:sz w:val="21"/>
                <w:szCs w:val="21"/>
                <w:highlight w:val="none"/>
              </w:rPr>
            </w:pPr>
            <w:r>
              <w:rPr>
                <w:rFonts w:hint="eastAsia" w:cs="宋体"/>
                <w:sz w:val="21"/>
                <w:szCs w:val="21"/>
                <w:highlight w:val="none"/>
              </w:rPr>
              <w:t>12.智能控制箱可以配合计算机联锁系统驱动室内外设备，并将设备状态采集反馈给正线操作系统控制台，具有故障设置与恢复功能。</w:t>
            </w:r>
          </w:p>
          <w:p>
            <w:pPr>
              <w:spacing w:line="320" w:lineRule="exact"/>
              <w:ind w:left="28"/>
              <w:rPr>
                <w:rFonts w:cs="宋体"/>
                <w:b/>
                <w:bCs/>
                <w:sz w:val="21"/>
                <w:szCs w:val="21"/>
                <w:highlight w:val="none"/>
              </w:rPr>
            </w:pPr>
            <w:r>
              <w:rPr>
                <w:rFonts w:hint="eastAsia" w:cs="宋体"/>
                <w:sz w:val="21"/>
                <w:szCs w:val="21"/>
                <w:highlight w:val="none"/>
              </w:rPr>
              <w:t>13.▲智能故障控制箱既可以设置电路故障，也可以设置继电器故障，电路故障的故障点要求：信号机点灯电路故障点≥55个；计轴系统故障点≥10个；屏蔽门系统故障点≥40个</w:t>
            </w:r>
            <w:r>
              <w:rPr>
                <w:rFonts w:hint="eastAsia" w:cs="宋体"/>
                <w:b/>
                <w:bCs/>
                <w:sz w:val="21"/>
                <w:szCs w:val="21"/>
                <w:highlight w:val="none"/>
              </w:rPr>
              <w:t>(说明：投标人投标时需提供信号机点灯电路至少55个、计轴系统至少10个和屏蔽门系统至少40个故障点设置前后测试设备参数的彩色图片和文字描述介绍，电路图中每个故障点都要求标明位置)。</w:t>
            </w:r>
          </w:p>
          <w:p>
            <w:pPr>
              <w:spacing w:line="320" w:lineRule="exact"/>
              <w:ind w:left="28"/>
              <w:rPr>
                <w:rFonts w:cs="宋体"/>
                <w:sz w:val="21"/>
                <w:szCs w:val="21"/>
                <w:highlight w:val="none"/>
              </w:rPr>
            </w:pPr>
            <w:r>
              <w:rPr>
                <w:rFonts w:hint="eastAsia" w:cs="宋体"/>
                <w:sz w:val="21"/>
                <w:szCs w:val="21"/>
                <w:highlight w:val="none"/>
              </w:rPr>
              <w:t>14.▲智能控制箱设置继电器故障的故障点要求：通过软件设置信号机继电器故障≥20个，屏蔽门继电器故障≥15个，计轴系统继电器故障≥3个</w:t>
            </w:r>
            <w:r>
              <w:rPr>
                <w:rFonts w:hint="eastAsia" w:cs="宋体"/>
                <w:b/>
                <w:bCs/>
                <w:sz w:val="21"/>
                <w:szCs w:val="21"/>
                <w:highlight w:val="none"/>
              </w:rPr>
              <w:t>(说明：投标人投标时需提供信号机继电器故障至少20个、屏蔽门系统继电器故障至少15个及计轴系统继电器故障至少3个故障点设置前后测试设备参数的彩色图片和文字描述介绍，每个故障点都要求标明位置)。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2</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正线继电器组合架</w:t>
            </w:r>
          </w:p>
        </w:tc>
        <w:tc>
          <w:tcPr>
            <w:tcW w:w="3991" w:type="pct"/>
          </w:tcPr>
          <w:p>
            <w:pPr>
              <w:pStyle w:val="82"/>
              <w:snapToGrid w:val="0"/>
              <w:spacing w:line="320" w:lineRule="exact"/>
              <w:ind w:left="28"/>
              <w:jc w:val="both"/>
              <w:rPr>
                <w:color w:val="auto"/>
                <w:sz w:val="21"/>
                <w:szCs w:val="21"/>
                <w:highlight w:val="none"/>
              </w:rPr>
            </w:pPr>
            <w:r>
              <w:rPr>
                <w:rFonts w:hint="eastAsia"/>
                <w:color w:val="auto"/>
                <w:sz w:val="21"/>
                <w:szCs w:val="21"/>
                <w:highlight w:val="none"/>
              </w:rPr>
              <w:t>15.</w:t>
            </w:r>
            <w:r>
              <w:rPr>
                <w:rFonts w:hint="eastAsia"/>
                <w:sz w:val="21"/>
                <w:szCs w:val="21"/>
                <w:highlight w:val="none"/>
              </w:rPr>
              <w:t>★</w:t>
            </w:r>
            <w:r>
              <w:rPr>
                <w:rFonts w:hint="eastAsia"/>
                <w:color w:val="auto"/>
                <w:sz w:val="21"/>
                <w:szCs w:val="21"/>
                <w:highlight w:val="none"/>
              </w:rPr>
              <w:t>正线继电器组合架能够配合计算机联锁系统完成对信号机、计轴系统、屏蔽门系统的控制，实现联锁关系。配合城市轨道交通信号工技术智能培训考核软件完成对信号机、计轴系统、屏蔽门系统的故障设置、查找、排除实训</w:t>
            </w:r>
            <w:r>
              <w:rPr>
                <w:rFonts w:hint="eastAsia"/>
                <w:b/>
                <w:bCs/>
                <w:sz w:val="21"/>
                <w:szCs w:val="21"/>
                <w:highlight w:val="none"/>
              </w:rPr>
              <w:t>(说明：投标人提供承诺函，承诺拟投产品完全满足或者正偏离技术参数要求)</w:t>
            </w:r>
            <w:r>
              <w:rPr>
                <w:rFonts w:hint="eastAsia"/>
                <w:b/>
                <w:bCs/>
                <w:color w:val="auto"/>
                <w:sz w:val="21"/>
                <w:szCs w:val="21"/>
                <w:highlight w:val="none"/>
              </w:rPr>
              <w:t>。</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16.正线继电器组合架采用轨道交通专用继电器组合架，尺寸要求长：≥900mm；宽：≥440mm；高：≥2000mm.组成要求包括但不限于零层电源组合、道岔控制组合、信号机控制组合、计轴控制组合、屏蔽门控制组合、分线盘和接口端子板。</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17.零层电源组合可实现零层组合配线实训。</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18.控制组合采用地铁/铁路实际使用的产品，包括但不限于继电器、断相保护器、表示变压器、电阻盒、断路器、万可端子板。</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19.继电器技术参数：无极继电器≥3个，偏极继电器≥6个，无极加强继电器≥1个，无极缓放继电器≥9个，无极加强缓放继电器≥1个，有极加强继电器≥1个，时间继电器≥1个，整流缓放继电器≥2个，继电器底座≥27个。</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20.断相保护器≥1个，表示电压器≥1个，电阻盒≥1个.</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21.断路器参数：380V、5A断路器≥2个，220V、0.5A断路器≥2个；220V、5A断路器≥1个；220V、1A断路器≥2个；24V、3A断路器≥1个.</w:t>
            </w:r>
          </w:p>
          <w:p>
            <w:pPr>
              <w:pStyle w:val="82"/>
              <w:snapToGrid w:val="0"/>
              <w:spacing w:line="320" w:lineRule="exact"/>
              <w:ind w:left="28"/>
              <w:jc w:val="both"/>
              <w:rPr>
                <w:color w:val="auto"/>
                <w:sz w:val="21"/>
                <w:szCs w:val="21"/>
                <w:highlight w:val="none"/>
              </w:rPr>
            </w:pPr>
            <w:r>
              <w:rPr>
                <w:rFonts w:hint="eastAsia"/>
                <w:color w:val="auto"/>
                <w:sz w:val="21"/>
                <w:szCs w:val="21"/>
                <w:highlight w:val="none"/>
              </w:rPr>
              <w:t>22.需列出信号机、计轴、屏蔽门控制组合的继电器组合排列表及型号配置清单。</w:t>
            </w:r>
          </w:p>
          <w:p>
            <w:pPr>
              <w:spacing w:line="320" w:lineRule="exact"/>
              <w:ind w:left="28"/>
              <w:rPr>
                <w:rFonts w:cs="宋体"/>
                <w:sz w:val="21"/>
                <w:szCs w:val="21"/>
                <w:highlight w:val="none"/>
              </w:rPr>
            </w:pPr>
            <w:r>
              <w:rPr>
                <w:rFonts w:hint="eastAsia" w:cs="宋体"/>
                <w:sz w:val="21"/>
                <w:szCs w:val="21"/>
                <w:highlight w:val="none"/>
              </w:rPr>
              <w:t>23.分线盘采用防雷底座，用于实现组合架与室外设备之间多芯电缆与铜芯软线的连接。</w:t>
            </w:r>
          </w:p>
          <w:p>
            <w:pPr>
              <w:spacing w:line="320" w:lineRule="exact"/>
              <w:ind w:left="28"/>
              <w:rPr>
                <w:rFonts w:cs="宋体"/>
                <w:sz w:val="21"/>
                <w:szCs w:val="21"/>
                <w:highlight w:val="none"/>
              </w:rPr>
            </w:pPr>
            <w:r>
              <w:rPr>
                <w:rFonts w:hint="eastAsia" w:cs="宋体"/>
                <w:sz w:val="21"/>
                <w:szCs w:val="21"/>
                <w:highlight w:val="none"/>
              </w:rPr>
              <w:t>24.接口端子板采用万可端子，实现联锁系统与各模块控制电路的转接。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3</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屏蔽门系统及就地控制盘</w:t>
            </w:r>
          </w:p>
        </w:tc>
        <w:tc>
          <w:tcPr>
            <w:tcW w:w="3991" w:type="pct"/>
          </w:tcPr>
          <w:p>
            <w:pPr>
              <w:spacing w:line="320" w:lineRule="exact"/>
              <w:ind w:left="28"/>
              <w:rPr>
                <w:rFonts w:cs="宋体"/>
                <w:sz w:val="21"/>
                <w:szCs w:val="21"/>
                <w:highlight w:val="none"/>
              </w:rPr>
            </w:pPr>
            <w:r>
              <w:rPr>
                <w:rFonts w:hint="eastAsia" w:cs="宋体"/>
                <w:sz w:val="21"/>
                <w:szCs w:val="21"/>
                <w:highlight w:val="none"/>
              </w:rPr>
              <w:t>25.▲屏蔽门系统包含门本体结构及控制系统。门本体结构包括但不限于滑动门、固定门以及上部的顶箱(含门机系统)组成，控制系统包括门机系统、LCB控制盒，配合就地控制盘可实现屏蔽门的开关操作。配合智能故障控制箱和智能考核软件，可实现屏蔽门故障设置及检修实训</w:t>
            </w:r>
            <w:r>
              <w:rPr>
                <w:rFonts w:hint="eastAsia" w:cs="宋体"/>
                <w:b/>
                <w:bCs/>
                <w:kern w:val="0"/>
                <w:sz w:val="21"/>
                <w:szCs w:val="21"/>
                <w:highlight w:val="none"/>
              </w:rPr>
              <w:t>(说明：投标人</w:t>
            </w:r>
            <w:r>
              <w:rPr>
                <w:rFonts w:hint="eastAsia" w:cs="宋体"/>
                <w:b/>
                <w:bCs/>
                <w:sz w:val="21"/>
                <w:szCs w:val="21"/>
                <w:highlight w:val="none"/>
              </w:rPr>
              <w:t>提供屏蔽门操作、应急处理、调整和故障维护检测</w:t>
            </w:r>
            <w:r>
              <w:rPr>
                <w:rFonts w:hint="eastAsia" w:cs="宋体"/>
                <w:b/>
                <w:bCs/>
                <w:kern w:val="0"/>
                <w:sz w:val="21"/>
                <w:szCs w:val="21"/>
                <w:highlight w:val="none"/>
              </w:rPr>
              <w:t>的产品说明书或白皮书)</w:t>
            </w:r>
            <w:r>
              <w:rPr>
                <w:rFonts w:hint="eastAsia" w:cs="宋体"/>
                <w:b/>
                <w:bCs/>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26.配套元器件包括但不限于关门继电器、开门继电器、关闭且锁紧继电器、屏蔽门切除继电器。</w:t>
            </w:r>
          </w:p>
          <w:p>
            <w:pPr>
              <w:pStyle w:val="82"/>
              <w:spacing w:line="320" w:lineRule="exact"/>
              <w:ind w:left="28"/>
              <w:jc w:val="both"/>
              <w:rPr>
                <w:color w:val="auto"/>
                <w:kern w:val="2"/>
                <w:sz w:val="21"/>
                <w:szCs w:val="21"/>
                <w:highlight w:val="none"/>
              </w:rPr>
            </w:pPr>
            <w:r>
              <w:rPr>
                <w:rFonts w:hint="eastAsia"/>
                <w:color w:val="auto"/>
                <w:kern w:val="2"/>
                <w:sz w:val="21"/>
                <w:szCs w:val="21"/>
                <w:highlight w:val="none"/>
              </w:rPr>
              <w:t>27.屏蔽门系统至少有系统级(信号系统控制)、站台级(就地控制盘控制)、手动级(LCB控制盒)三种控制方式，且优先级顺序满足手动级&gt;站台级&gt;系统级。</w:t>
            </w:r>
          </w:p>
          <w:p>
            <w:pPr>
              <w:spacing w:line="320" w:lineRule="exact"/>
              <w:ind w:left="28"/>
              <w:rPr>
                <w:rFonts w:cs="宋体"/>
                <w:sz w:val="21"/>
                <w:szCs w:val="21"/>
                <w:highlight w:val="none"/>
              </w:rPr>
            </w:pPr>
            <w:r>
              <w:rPr>
                <w:rFonts w:hint="eastAsia" w:cs="宋体"/>
                <w:sz w:val="21"/>
                <w:szCs w:val="21"/>
                <w:highlight w:val="none"/>
              </w:rPr>
              <w:t>28.▲门体类型：全封闭式。外形尺寸：门体长度≥3400mm、门体高度≥2250mm</w:t>
            </w:r>
            <w:r>
              <w:rPr>
                <w:rFonts w:hint="eastAsia" w:cs="宋体"/>
                <w:b/>
                <w:bCs/>
                <w:kern w:val="0"/>
                <w:sz w:val="21"/>
                <w:szCs w:val="21"/>
                <w:highlight w:val="none"/>
              </w:rPr>
              <w:t>(说明：提供投标产品制造商公开发布的印刷资料或说明书或白皮书或国家认可的检测机构出具的检测报告等类似资料)</w:t>
            </w:r>
            <w:r>
              <w:rPr>
                <w:rFonts w:hint="eastAsia" w:cs="宋体"/>
                <w:kern w:val="0"/>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29.输入电源：AC220V±10%(单相三线)、整体功率：＜1kVA、工作环境：室温。</w:t>
            </w:r>
          </w:p>
          <w:p>
            <w:pPr>
              <w:spacing w:line="320" w:lineRule="exact"/>
              <w:ind w:left="28"/>
              <w:rPr>
                <w:rFonts w:cs="宋体"/>
                <w:sz w:val="21"/>
                <w:szCs w:val="21"/>
                <w:highlight w:val="none"/>
              </w:rPr>
            </w:pPr>
            <w:r>
              <w:rPr>
                <w:rFonts w:hint="eastAsia" w:cs="宋体"/>
                <w:sz w:val="21"/>
                <w:szCs w:val="21"/>
                <w:highlight w:val="none"/>
              </w:rPr>
              <w:t>30.就地控制盘数量要求：≥1个</w:t>
            </w:r>
          </w:p>
          <w:p>
            <w:pPr>
              <w:spacing w:line="320" w:lineRule="exact"/>
              <w:ind w:left="28"/>
              <w:rPr>
                <w:rFonts w:cs="宋体"/>
                <w:sz w:val="21"/>
                <w:szCs w:val="21"/>
                <w:highlight w:val="none"/>
              </w:rPr>
            </w:pPr>
            <w:r>
              <w:rPr>
                <w:rFonts w:hint="eastAsia" w:cs="宋体"/>
                <w:sz w:val="21"/>
                <w:szCs w:val="21"/>
                <w:highlight w:val="none"/>
              </w:rPr>
              <w:t>31.具有抗震、防尘、防潮及抗电磁干扰要求，并应满足在室温环境条件下正常运行的要求。</w:t>
            </w:r>
          </w:p>
          <w:p>
            <w:pPr>
              <w:spacing w:line="320" w:lineRule="exact"/>
              <w:ind w:left="28"/>
              <w:rPr>
                <w:rFonts w:cs="宋体"/>
                <w:sz w:val="21"/>
                <w:szCs w:val="21"/>
                <w:highlight w:val="none"/>
              </w:rPr>
            </w:pPr>
            <w:r>
              <w:rPr>
                <w:rFonts w:hint="eastAsia" w:cs="宋体"/>
                <w:sz w:val="21"/>
                <w:szCs w:val="21"/>
                <w:highlight w:val="none"/>
              </w:rPr>
              <w:t>32.就地控制盘要求是配合屏蔽门设一个站台端头控制盘。具有与站台单元控制器连接的硬线接口及电源接口；</w:t>
            </w:r>
          </w:p>
          <w:p>
            <w:pPr>
              <w:spacing w:line="320" w:lineRule="exact"/>
              <w:ind w:left="28"/>
              <w:rPr>
                <w:rFonts w:cs="宋体"/>
                <w:sz w:val="21"/>
                <w:szCs w:val="21"/>
                <w:highlight w:val="none"/>
              </w:rPr>
            </w:pPr>
            <w:r>
              <w:rPr>
                <w:rFonts w:hint="eastAsia" w:cs="宋体"/>
                <w:sz w:val="21"/>
                <w:szCs w:val="21"/>
                <w:highlight w:val="none"/>
              </w:rPr>
              <w:t>33.具有操作状态及操作按钮；显示滑动门/应急门全关闭且锁定、全打开的状态；以及当信号系统指令开/关门控制失败后，可用于对屏蔽门进行控制。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4</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车厢系统</w:t>
            </w:r>
          </w:p>
        </w:tc>
        <w:tc>
          <w:tcPr>
            <w:tcW w:w="3991" w:type="pct"/>
          </w:tcPr>
          <w:p>
            <w:pPr>
              <w:spacing w:line="320" w:lineRule="exact"/>
              <w:ind w:left="28"/>
              <w:rPr>
                <w:rFonts w:cs="宋体"/>
                <w:sz w:val="21"/>
                <w:szCs w:val="21"/>
                <w:highlight w:val="none"/>
              </w:rPr>
            </w:pPr>
            <w:r>
              <w:rPr>
                <w:rFonts w:hint="eastAsia" w:cs="宋体"/>
                <w:sz w:val="21"/>
                <w:szCs w:val="21"/>
                <w:highlight w:val="none"/>
              </w:rPr>
              <w:t>34.包含但不限于车厢、车门、仿真转向架、集电靴，可模拟司机驾驶，实现车辆自动驾驶、车门开关、对标停车等操作功能。</w:t>
            </w:r>
          </w:p>
          <w:p>
            <w:pPr>
              <w:spacing w:line="320" w:lineRule="exact"/>
              <w:ind w:left="28"/>
              <w:rPr>
                <w:rFonts w:cs="宋体"/>
                <w:sz w:val="21"/>
                <w:szCs w:val="21"/>
                <w:highlight w:val="none"/>
              </w:rPr>
            </w:pPr>
            <w:r>
              <w:rPr>
                <w:rFonts w:hint="eastAsia" w:cs="宋体"/>
                <w:sz w:val="21"/>
                <w:szCs w:val="21"/>
                <w:highlight w:val="none"/>
              </w:rPr>
              <w:t>35.能够与屏蔽门系统进行联动操作实训，可接受正线联锁系统和司机室控制指令自动开关门，提供屏蔽门对标停车照片。</w:t>
            </w:r>
          </w:p>
          <w:p>
            <w:pPr>
              <w:spacing w:line="320" w:lineRule="exact"/>
              <w:ind w:left="28"/>
              <w:rPr>
                <w:rFonts w:cs="宋体"/>
                <w:sz w:val="21"/>
                <w:szCs w:val="21"/>
                <w:highlight w:val="none"/>
              </w:rPr>
            </w:pPr>
            <w:r>
              <w:rPr>
                <w:rFonts w:hint="eastAsia" w:cs="宋体"/>
                <w:sz w:val="21"/>
                <w:szCs w:val="21"/>
                <w:highlight w:val="none"/>
              </w:rPr>
              <w:t>36.▲车厢采用冷扎钢板制作，外观尺寸：长≥3350mm，宽≥1650mm，高≥1700mm，组成但不限于内、外蒙皮、两个纵边框、两个中间框及半框、上下横隔板、中间隔板，有司机和乘客座椅，车厢系统上端安装受电弓</w:t>
            </w:r>
            <w:r>
              <w:rPr>
                <w:rFonts w:hint="eastAsia" w:cs="宋体"/>
                <w:b/>
                <w:bCs/>
                <w:kern w:val="0"/>
                <w:sz w:val="21"/>
                <w:szCs w:val="21"/>
                <w:highlight w:val="none"/>
              </w:rPr>
              <w:t>(说明：提供投标产品制造商公开发布的印刷资料或说明书或白皮书或国家认可的检测机构出具的检测报告等类似资料)</w:t>
            </w:r>
            <w:r>
              <w:rPr>
                <w:rFonts w:hint="eastAsia" w:cs="宋体"/>
                <w:kern w:val="0"/>
                <w:sz w:val="21"/>
                <w:szCs w:val="21"/>
                <w:highlight w:val="none"/>
              </w:rPr>
              <w:t>。</w:t>
            </w:r>
          </w:p>
          <w:p>
            <w:pPr>
              <w:spacing w:line="320" w:lineRule="exact"/>
              <w:ind w:left="28"/>
              <w:rPr>
                <w:rFonts w:cs="宋体"/>
                <w:sz w:val="21"/>
                <w:szCs w:val="21"/>
                <w:highlight w:val="none"/>
              </w:rPr>
            </w:pPr>
            <w:r>
              <w:rPr>
                <w:rFonts w:hint="eastAsia" w:cs="宋体"/>
                <w:sz w:val="21"/>
                <w:szCs w:val="21"/>
                <w:highlight w:val="none"/>
              </w:rPr>
              <w:t>37.采用电动电控双页门，开、关门时间：3.0±0.5s。</w:t>
            </w:r>
          </w:p>
          <w:p>
            <w:pPr>
              <w:spacing w:line="320" w:lineRule="exact"/>
              <w:ind w:left="28"/>
              <w:rPr>
                <w:rFonts w:cs="宋体"/>
                <w:sz w:val="21"/>
                <w:szCs w:val="21"/>
                <w:highlight w:val="none"/>
              </w:rPr>
            </w:pPr>
            <w:r>
              <w:rPr>
                <w:rFonts w:hint="eastAsia" w:cs="宋体"/>
                <w:sz w:val="21"/>
                <w:szCs w:val="21"/>
                <w:highlight w:val="none"/>
              </w:rPr>
              <w:t>38.仿真转向架装设有但不限于牵引电动机，减速装置以及集电靴等，材料：采用钢材，锻压成型，热处理加工制作，表面采用静电喷涂，外形尺寸：长≥1400mm，宽≥1000mm，高≥440mm，轮对高度≥400mm。</w:t>
            </w:r>
          </w:p>
          <w:p>
            <w:pPr>
              <w:spacing w:line="320" w:lineRule="exact"/>
              <w:ind w:left="28"/>
              <w:rPr>
                <w:rFonts w:cs="宋体"/>
                <w:sz w:val="21"/>
                <w:szCs w:val="21"/>
                <w:highlight w:val="none"/>
              </w:rPr>
            </w:pPr>
            <w:r>
              <w:rPr>
                <w:rFonts w:hint="eastAsia" w:cs="宋体"/>
                <w:sz w:val="21"/>
                <w:szCs w:val="21"/>
                <w:highlight w:val="none"/>
              </w:rPr>
              <w:t>39.变速传动装置：采用齿轮变速传动装置，轮轴齿轮与电机齿轮比例大小为3:1。</w:t>
            </w:r>
          </w:p>
          <w:p>
            <w:pPr>
              <w:spacing w:line="320" w:lineRule="exact"/>
              <w:ind w:left="28"/>
              <w:rPr>
                <w:rFonts w:cs="宋体"/>
                <w:sz w:val="21"/>
                <w:szCs w:val="21"/>
                <w:highlight w:val="none"/>
              </w:rPr>
            </w:pPr>
            <w:r>
              <w:rPr>
                <w:rFonts w:hint="eastAsia" w:cs="宋体"/>
                <w:sz w:val="21"/>
                <w:szCs w:val="21"/>
                <w:highlight w:val="none"/>
              </w:rPr>
              <w:t>40.牵引电动机：采用不小于60N•M大扭矩步进电机，减速装置：采用15:1减速机进行减速。</w:t>
            </w:r>
          </w:p>
          <w:p>
            <w:pPr>
              <w:spacing w:line="320" w:lineRule="exact"/>
              <w:ind w:left="28"/>
              <w:rPr>
                <w:rFonts w:cs="宋体"/>
                <w:sz w:val="21"/>
                <w:szCs w:val="21"/>
                <w:highlight w:val="none"/>
              </w:rPr>
            </w:pPr>
            <w:r>
              <w:rPr>
                <w:rFonts w:hint="eastAsia" w:cs="宋体"/>
                <w:sz w:val="21"/>
                <w:szCs w:val="21"/>
                <w:highlight w:val="none"/>
              </w:rPr>
              <w:t>41.集电靴接收第三轨为车厢系统运行供电：具有过流、漏电、欠压等保护功能。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5</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轨道平台系统</w:t>
            </w:r>
          </w:p>
        </w:tc>
        <w:tc>
          <w:tcPr>
            <w:tcW w:w="3991" w:type="pct"/>
          </w:tcPr>
          <w:p>
            <w:pPr>
              <w:spacing w:line="320" w:lineRule="exact"/>
              <w:ind w:left="28"/>
              <w:rPr>
                <w:rFonts w:cs="宋体"/>
                <w:sz w:val="21"/>
                <w:szCs w:val="21"/>
                <w:highlight w:val="none"/>
              </w:rPr>
            </w:pPr>
            <w:r>
              <w:rPr>
                <w:rFonts w:hint="eastAsia" w:cs="宋体"/>
                <w:sz w:val="21"/>
                <w:szCs w:val="21"/>
                <w:highlight w:val="none"/>
              </w:rPr>
              <w:t>42.轨道平台系统包含但不限于信号机(包含智能点灯单元和电缆盒)、转辙机1台(包含电缆盒)、钢轨、安装平台、计轴室外电子连接盒和计轴磁头。与室内设备相连接，配合计算机联锁系统实现联锁关系，对信号机设备、道岔设备、计轴设备实时监测并在操作界面显示状态。</w:t>
            </w:r>
          </w:p>
          <w:p>
            <w:pPr>
              <w:spacing w:line="320" w:lineRule="exact"/>
              <w:ind w:left="28"/>
              <w:rPr>
                <w:rFonts w:cs="宋体"/>
                <w:sz w:val="21"/>
                <w:szCs w:val="21"/>
                <w:highlight w:val="none"/>
              </w:rPr>
            </w:pPr>
            <w:r>
              <w:rPr>
                <w:rFonts w:hint="eastAsia" w:cs="宋体"/>
                <w:sz w:val="21"/>
                <w:szCs w:val="21"/>
                <w:highlight w:val="none"/>
              </w:rPr>
              <w:t>43.信号机采用真实地铁LED三显示信号机，包括信号机机构和信号机电缆盒，信号机机构组成至少包括：机构外壳、发光盘、智能点灯单元，材质为铝合金材料压铸。灯位从上到下依次为黄、绿、红，灯光显示颜色包括但不限于：红、绿、黄、红黄。</w:t>
            </w:r>
          </w:p>
          <w:p>
            <w:pPr>
              <w:spacing w:line="320" w:lineRule="exact"/>
              <w:ind w:left="28"/>
              <w:rPr>
                <w:rFonts w:cs="宋体"/>
                <w:sz w:val="21"/>
                <w:szCs w:val="21"/>
                <w:highlight w:val="none"/>
              </w:rPr>
            </w:pPr>
            <w:r>
              <w:rPr>
                <w:rFonts w:hint="eastAsia" w:cs="宋体"/>
                <w:sz w:val="21"/>
                <w:szCs w:val="21"/>
                <w:highlight w:val="none"/>
              </w:rPr>
              <w:t>44.智能点灯单元：功能包括但不限于交流点灯、故障定位及报警，点灯单元的继电器线圈有效压降不大于1.2V，故障灯位的定位报警时间≤5s。</w:t>
            </w:r>
          </w:p>
          <w:p>
            <w:pPr>
              <w:spacing w:line="320" w:lineRule="exact"/>
              <w:ind w:left="28"/>
              <w:rPr>
                <w:rFonts w:cs="宋体"/>
                <w:sz w:val="21"/>
                <w:szCs w:val="21"/>
                <w:highlight w:val="none"/>
              </w:rPr>
            </w:pPr>
            <w:r>
              <w:rPr>
                <w:rFonts w:hint="eastAsia" w:cs="宋体"/>
                <w:sz w:val="21"/>
                <w:szCs w:val="21"/>
                <w:highlight w:val="none"/>
              </w:rPr>
              <w:t>45.信号机配合智能故障控制箱和智能考核软件，可实现信号机故障设置及检修实训。</w:t>
            </w:r>
          </w:p>
          <w:p>
            <w:pPr>
              <w:spacing w:line="320" w:lineRule="exact"/>
              <w:ind w:left="28"/>
              <w:rPr>
                <w:rFonts w:cs="宋体"/>
                <w:sz w:val="21"/>
                <w:szCs w:val="21"/>
                <w:highlight w:val="none"/>
              </w:rPr>
            </w:pPr>
            <w:r>
              <w:rPr>
                <w:rFonts w:hint="eastAsia" w:cs="宋体"/>
                <w:sz w:val="21"/>
                <w:szCs w:val="21"/>
                <w:highlight w:val="none"/>
              </w:rPr>
              <w:t>46.转辙机类型：ZY(J)7转辙机。</w:t>
            </w:r>
          </w:p>
          <w:p>
            <w:pPr>
              <w:spacing w:line="320" w:lineRule="exact"/>
              <w:ind w:left="28"/>
              <w:rPr>
                <w:rFonts w:cs="宋体"/>
                <w:sz w:val="21"/>
                <w:szCs w:val="21"/>
                <w:highlight w:val="none"/>
              </w:rPr>
            </w:pPr>
            <w:r>
              <w:rPr>
                <w:rFonts w:hint="eastAsia" w:cs="宋体"/>
                <w:sz w:val="21"/>
                <w:szCs w:val="21"/>
                <w:highlight w:val="none"/>
              </w:rPr>
              <w:t>47.计轴室外设备包含计轴磁头和轨旁盒，实现计轴区段的占用出清状态采集，能对轮轴检测器传送的轴脉冲信息进行计数并识别列车运行方向，配合智能故障控制箱和智能考核软件，可实现计轴系统故障设置及检修实训。</w:t>
            </w:r>
          </w:p>
          <w:p>
            <w:pPr>
              <w:spacing w:line="320" w:lineRule="exact"/>
              <w:ind w:left="28"/>
              <w:rPr>
                <w:rFonts w:cs="宋体"/>
                <w:sz w:val="21"/>
                <w:szCs w:val="21"/>
                <w:highlight w:val="none"/>
              </w:rPr>
            </w:pPr>
            <w:r>
              <w:rPr>
                <w:rFonts w:hint="eastAsia" w:cs="宋体"/>
                <w:sz w:val="21"/>
                <w:szCs w:val="21"/>
                <w:highlight w:val="none"/>
              </w:rPr>
              <w:t>48.钢轨组成：尖轨、基本轨和轨枕，基本轨长度：≥10米，材质要求：全钢材质。</w:t>
            </w:r>
          </w:p>
          <w:p>
            <w:pPr>
              <w:pStyle w:val="2"/>
              <w:spacing w:after="0" w:line="320" w:lineRule="exact"/>
              <w:ind w:left="28"/>
              <w:rPr>
                <w:rFonts w:ascii="宋体" w:cs="宋体"/>
                <w:sz w:val="21"/>
                <w:szCs w:val="21"/>
                <w:highlight w:val="none"/>
              </w:rPr>
            </w:pPr>
            <w:r>
              <w:rPr>
                <w:rFonts w:hint="eastAsia" w:ascii="宋体" w:cs="宋体"/>
                <w:sz w:val="21"/>
                <w:szCs w:val="21"/>
                <w:highlight w:val="none"/>
              </w:rPr>
              <w:t>49.▲安装平台用于安装信号机、转辙机、钢轨、计轴器、应答器、接触网和第三轨等设备，材质要求：采用冷轧钢板制作，带万向轮，尺寸：长度≥11米，宽度≥3米，承载重量至少2000公斤。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6</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正线操作系统控制台</w:t>
            </w:r>
          </w:p>
        </w:tc>
        <w:tc>
          <w:tcPr>
            <w:tcW w:w="3991" w:type="pct"/>
          </w:tcPr>
          <w:p>
            <w:pPr>
              <w:spacing w:line="320" w:lineRule="exact"/>
              <w:ind w:left="28"/>
              <w:rPr>
                <w:rFonts w:cs="宋体"/>
                <w:sz w:val="21"/>
                <w:szCs w:val="21"/>
                <w:highlight w:val="none"/>
              </w:rPr>
            </w:pPr>
            <w:r>
              <w:rPr>
                <w:rFonts w:hint="eastAsia" w:cs="宋体"/>
                <w:sz w:val="21"/>
                <w:szCs w:val="21"/>
                <w:highlight w:val="none"/>
              </w:rPr>
              <w:t>50.★正线操作控制台用于安装城市轨道交通信号工技术智能培训考核软件，与其他设备驱动配合，完成对正线联锁控制系统的实训内容。可实现各种进路的办理、锁闭、取消和解锁功能。可实现信号、计轴、屏蔽门系统之间的联锁控制，驱动室外信号设备动作，实时监测室外设备状态并在操作界面上显示，进行故障分析处理</w:t>
            </w:r>
            <w:r>
              <w:rPr>
                <w:rFonts w:hint="eastAsia" w:cs="宋体"/>
                <w:b/>
                <w:bCs/>
                <w:sz w:val="21"/>
                <w:szCs w:val="21"/>
                <w:highlight w:val="none"/>
              </w:rPr>
              <w:t>(说明：投标人提供承诺函，承诺拟投产品完全满足或者正偏离技术参数要求)。</w:t>
            </w:r>
          </w:p>
          <w:p>
            <w:pPr>
              <w:spacing w:line="320" w:lineRule="exact"/>
              <w:ind w:left="28"/>
              <w:rPr>
                <w:rFonts w:cs="宋体"/>
                <w:sz w:val="21"/>
                <w:szCs w:val="21"/>
                <w:highlight w:val="none"/>
              </w:rPr>
            </w:pPr>
            <w:r>
              <w:rPr>
                <w:rFonts w:hint="eastAsia" w:cs="宋体"/>
                <w:sz w:val="21"/>
                <w:szCs w:val="21"/>
                <w:highlight w:val="none"/>
              </w:rPr>
              <w:t>51.符合故障-安全要求，拒绝执行错误的操作命令，对于操作失误及不满足联锁的状况给出提示。</w:t>
            </w:r>
          </w:p>
          <w:p>
            <w:pPr>
              <w:spacing w:line="320" w:lineRule="exact"/>
              <w:ind w:left="28"/>
              <w:rPr>
                <w:rFonts w:cs="宋体"/>
                <w:sz w:val="21"/>
                <w:szCs w:val="21"/>
                <w:highlight w:val="none"/>
              </w:rPr>
            </w:pPr>
            <w:r>
              <w:rPr>
                <w:rFonts w:hint="eastAsia" w:cs="宋体"/>
                <w:sz w:val="21"/>
                <w:szCs w:val="21"/>
                <w:highlight w:val="none"/>
              </w:rPr>
              <w:t>52.控制台尺寸要求：长≥1000mm，宽≥1000mm，高≥1200mm。</w:t>
            </w:r>
          </w:p>
          <w:p>
            <w:pPr>
              <w:spacing w:line="320" w:lineRule="exact"/>
              <w:ind w:left="28"/>
              <w:rPr>
                <w:rFonts w:cs="宋体"/>
                <w:sz w:val="21"/>
                <w:szCs w:val="21"/>
                <w:highlight w:val="none"/>
              </w:rPr>
            </w:pPr>
            <w:r>
              <w:rPr>
                <w:rFonts w:hint="eastAsia" w:cs="宋体"/>
                <w:sz w:val="21"/>
                <w:szCs w:val="21"/>
                <w:highlight w:val="none"/>
              </w:rPr>
              <w:t>53.系统控制台：I5及以上处理器、内存≥4G、固态硬盘≥120G、USB接口≥4个</w:t>
            </w:r>
          </w:p>
          <w:p>
            <w:pPr>
              <w:spacing w:line="320" w:lineRule="exact"/>
              <w:ind w:left="28"/>
              <w:rPr>
                <w:rFonts w:cs="宋体"/>
                <w:sz w:val="21"/>
                <w:szCs w:val="21"/>
                <w:highlight w:val="none"/>
              </w:rPr>
            </w:pPr>
            <w:r>
              <w:rPr>
                <w:rFonts w:hint="eastAsia" w:cs="宋体"/>
                <w:sz w:val="21"/>
                <w:szCs w:val="21"/>
                <w:highlight w:val="none"/>
              </w:rPr>
              <w:t>54.需为其他设备提供接口。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7</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城市轨道交通信号工技术智能培训考核软件</w:t>
            </w:r>
          </w:p>
        </w:tc>
        <w:tc>
          <w:tcPr>
            <w:tcW w:w="3991" w:type="pct"/>
          </w:tcPr>
          <w:p>
            <w:pPr>
              <w:spacing w:line="320" w:lineRule="exact"/>
              <w:ind w:left="28"/>
              <w:rPr>
                <w:rFonts w:cs="宋体"/>
                <w:b/>
                <w:bCs/>
                <w:sz w:val="21"/>
                <w:szCs w:val="21"/>
                <w:highlight w:val="none"/>
              </w:rPr>
            </w:pPr>
            <w:r>
              <w:rPr>
                <w:rFonts w:hint="eastAsia" w:cs="宋体"/>
                <w:sz w:val="21"/>
                <w:szCs w:val="21"/>
                <w:highlight w:val="none"/>
              </w:rPr>
              <w:t>55.★至少包含故障设置系统、故障修复系统、智能评分系统，同时能与正线联锁控制柜、正线继电器组合架、屏蔽门系统、轨道平台系统等硬件设备联动实现故障设置与修复</w:t>
            </w:r>
            <w:r>
              <w:rPr>
                <w:rFonts w:hint="eastAsia" w:cs="宋体"/>
                <w:b/>
                <w:bCs/>
                <w:sz w:val="21"/>
                <w:szCs w:val="21"/>
                <w:highlight w:val="none"/>
              </w:rPr>
              <w:t>(说明：投标人提供承诺函，承诺拟投产品完全满足或者正偏离技术参数要求)。</w:t>
            </w:r>
          </w:p>
          <w:p>
            <w:pPr>
              <w:spacing w:line="320" w:lineRule="exact"/>
              <w:ind w:left="28"/>
              <w:rPr>
                <w:rFonts w:cs="宋体"/>
                <w:sz w:val="21"/>
                <w:szCs w:val="21"/>
                <w:highlight w:val="none"/>
              </w:rPr>
            </w:pPr>
            <w:r>
              <w:rPr>
                <w:rFonts w:hint="eastAsia" w:cs="宋体"/>
                <w:sz w:val="21"/>
                <w:szCs w:val="21"/>
                <w:highlight w:val="none"/>
              </w:rPr>
              <w:t>56.★故障设置系统可通过内置的信号基础设备电路原理图进行设置与取消转辙机、信号机、计轴系统、屏蔽门系统的电气线路故障。故障修复系统通过屏蔽门与信号接口、信号机、计轴设备的电路图终端上点击故障点，实现设备故障的判断与提交。智能评分系统对设备操作验证进行计算机评分，实现竞速评分，并能查看详细操作得分情况</w:t>
            </w:r>
            <w:r>
              <w:rPr>
                <w:rFonts w:hint="eastAsia" w:cs="宋体"/>
                <w:b/>
                <w:bCs/>
                <w:sz w:val="21"/>
                <w:szCs w:val="21"/>
                <w:highlight w:val="none"/>
              </w:rPr>
              <w:t>(说明：投标人提供承诺函，承诺拟投产品完全满足或者正偏离技术参数要求)。</w:t>
            </w:r>
          </w:p>
          <w:p>
            <w:pPr>
              <w:spacing w:line="320" w:lineRule="exact"/>
              <w:ind w:left="28"/>
              <w:rPr>
                <w:rFonts w:cs="宋体"/>
                <w:sz w:val="21"/>
                <w:szCs w:val="21"/>
                <w:highlight w:val="none"/>
              </w:rPr>
            </w:pPr>
            <w:r>
              <w:rPr>
                <w:rFonts w:hint="eastAsia" w:cs="宋体"/>
                <w:sz w:val="21"/>
                <w:szCs w:val="21"/>
                <w:highlight w:val="none"/>
              </w:rPr>
              <w:t>57.包含练习模式和考核模式，练习模式至少应该包括：登录、理论题目练习、控制电路故障排除实操练习、配件故障查找处理练习等功能，并且在练习完后自动给出评分与正确答案。考核模式的功能至少包括登录、接受教师端发送的理论试卷、接受控制电路故障排除实操试卷、接受配件故障排除试卷，并进行模拟考试，考试完后能立即评分。</w:t>
            </w:r>
          </w:p>
          <w:p>
            <w:pPr>
              <w:spacing w:line="320" w:lineRule="exact"/>
              <w:ind w:left="28"/>
              <w:rPr>
                <w:rFonts w:cs="宋体"/>
                <w:sz w:val="21"/>
                <w:szCs w:val="21"/>
                <w:highlight w:val="none"/>
              </w:rPr>
            </w:pPr>
            <w:r>
              <w:rPr>
                <w:rFonts w:hint="eastAsia" w:cs="宋体"/>
                <w:sz w:val="21"/>
                <w:szCs w:val="21"/>
                <w:highlight w:val="none"/>
              </w:rPr>
              <w:t>58.理论题至少包括能导入EXCEL、WORLD等文件并自动生成上机考试试卷、教师设置考核的理论题数量及题库、教师也可对题库的理论题进行增加、修改或删除、软件自动从题库中抽取相应数量的理论题形成试卷等。</w:t>
            </w:r>
          </w:p>
          <w:p>
            <w:pPr>
              <w:spacing w:line="320" w:lineRule="exact"/>
              <w:ind w:left="28"/>
              <w:rPr>
                <w:rFonts w:cs="宋体"/>
                <w:sz w:val="21"/>
                <w:szCs w:val="21"/>
                <w:highlight w:val="none"/>
              </w:rPr>
            </w:pPr>
            <w:r>
              <w:rPr>
                <w:rFonts w:hint="eastAsia" w:cs="宋体"/>
                <w:sz w:val="21"/>
                <w:szCs w:val="21"/>
                <w:highlight w:val="none"/>
              </w:rPr>
              <w:t>59.能根据给定的车站信号平面布置图、原理图和设计要求，设计零层配线图、侧面配线图、室外电缆径路图及全站联锁表；能根据给定的组合内部配线图和自行设计的零层配线图、侧面配线图、室外电缆径路图，完成指定组合内部配线、组合架及室外电缆配线施工，且配线包括焊接和万可端子接线两种方式；能对学员设计并施工的联锁系统进行导通测试，并对测试结果打分。</w:t>
            </w:r>
          </w:p>
          <w:p>
            <w:pPr>
              <w:spacing w:line="320" w:lineRule="exact"/>
              <w:ind w:left="28"/>
              <w:rPr>
                <w:rFonts w:cs="宋体"/>
                <w:sz w:val="21"/>
                <w:szCs w:val="21"/>
                <w:highlight w:val="none"/>
              </w:rPr>
            </w:pPr>
            <w:r>
              <w:rPr>
                <w:rFonts w:hint="eastAsia" w:cs="宋体"/>
                <w:sz w:val="21"/>
                <w:szCs w:val="21"/>
                <w:highlight w:val="none"/>
              </w:rPr>
              <w:t>60.▲投标人或所投产品制造商具有该软件著作权</w:t>
            </w:r>
            <w:r>
              <w:rPr>
                <w:rFonts w:hint="eastAsia" w:cs="宋体"/>
                <w:b/>
                <w:bCs/>
                <w:sz w:val="21"/>
                <w:szCs w:val="21"/>
                <w:highlight w:val="none"/>
              </w:rPr>
              <w:t>(说明：提供软件著作权登记证书复印件或提供承诺函，承诺项目验收前向采购人提供该证书复印件)。</w:t>
            </w:r>
          </w:p>
          <w:p>
            <w:pPr>
              <w:pStyle w:val="2"/>
              <w:spacing w:after="0" w:line="320" w:lineRule="exact"/>
              <w:ind w:left="28"/>
              <w:rPr>
                <w:rFonts w:ascii="宋体" w:cs="宋体"/>
                <w:sz w:val="21"/>
                <w:szCs w:val="21"/>
                <w:highlight w:val="none"/>
              </w:rPr>
            </w:pPr>
            <w:r>
              <w:rPr>
                <w:rFonts w:hint="eastAsia" w:ascii="宋体" w:cs="宋体"/>
                <w:sz w:val="21"/>
                <w:szCs w:val="21"/>
                <w:highlight w:val="none"/>
              </w:rPr>
              <w:t>61.▲提供该系统的实训指导书一套，实训项目不少于100个</w:t>
            </w:r>
            <w:r>
              <w:rPr>
                <w:rFonts w:hint="eastAsia" w:ascii="宋体" w:cs="宋体"/>
                <w:b/>
                <w:bCs/>
                <w:sz w:val="21"/>
                <w:szCs w:val="21"/>
                <w:highlight w:val="none"/>
              </w:rPr>
              <w:t>(说明：投标人提供实训指导书的目录)。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Align w:val="center"/>
          </w:tcPr>
          <w:p>
            <w:pPr>
              <w:spacing w:line="320" w:lineRule="exact"/>
              <w:ind w:left="28"/>
              <w:jc w:val="center"/>
              <w:rPr>
                <w:rFonts w:cs="宋体"/>
                <w:sz w:val="21"/>
                <w:szCs w:val="21"/>
                <w:highlight w:val="none"/>
              </w:rPr>
            </w:pPr>
            <w:r>
              <w:rPr>
                <w:rFonts w:hint="eastAsia" w:cs="宋体"/>
                <w:sz w:val="21"/>
                <w:szCs w:val="21"/>
                <w:highlight w:val="none"/>
              </w:rPr>
              <w:t>8</w:t>
            </w:r>
          </w:p>
        </w:tc>
        <w:tc>
          <w:tcPr>
            <w:tcW w:w="658" w:type="pct"/>
            <w:vAlign w:val="center"/>
          </w:tcPr>
          <w:p>
            <w:pPr>
              <w:spacing w:line="320" w:lineRule="exact"/>
              <w:ind w:left="28"/>
              <w:jc w:val="center"/>
              <w:rPr>
                <w:rFonts w:cs="宋体"/>
                <w:sz w:val="21"/>
                <w:szCs w:val="21"/>
                <w:highlight w:val="none"/>
              </w:rPr>
            </w:pPr>
            <w:r>
              <w:rPr>
                <w:rFonts w:hint="eastAsia" w:cs="宋体"/>
                <w:sz w:val="21"/>
                <w:szCs w:val="21"/>
                <w:highlight w:val="none"/>
              </w:rPr>
              <w:t>综合布线</w:t>
            </w:r>
          </w:p>
        </w:tc>
        <w:tc>
          <w:tcPr>
            <w:tcW w:w="3991" w:type="pct"/>
          </w:tcPr>
          <w:p>
            <w:pPr>
              <w:pStyle w:val="82"/>
              <w:snapToGrid w:val="0"/>
              <w:spacing w:line="320" w:lineRule="exact"/>
              <w:ind w:left="28"/>
              <w:rPr>
                <w:color w:val="auto"/>
                <w:sz w:val="21"/>
                <w:szCs w:val="21"/>
                <w:highlight w:val="none"/>
              </w:rPr>
            </w:pPr>
            <w:r>
              <w:rPr>
                <w:rFonts w:hint="eastAsia"/>
                <w:color w:val="auto"/>
                <w:sz w:val="21"/>
                <w:szCs w:val="21"/>
                <w:highlight w:val="none"/>
              </w:rPr>
              <w:t>62.提供实训室采购设备配套综合布线及实训设备供电配套相应的电源、线材等，符合国标要求。</w:t>
            </w:r>
          </w:p>
          <w:p>
            <w:pPr>
              <w:pStyle w:val="82"/>
              <w:snapToGrid w:val="0"/>
              <w:spacing w:line="320" w:lineRule="exact"/>
              <w:ind w:left="28"/>
              <w:rPr>
                <w:color w:val="auto"/>
                <w:sz w:val="21"/>
                <w:szCs w:val="21"/>
                <w:highlight w:val="none"/>
              </w:rPr>
            </w:pPr>
            <w:r>
              <w:rPr>
                <w:rFonts w:hint="eastAsia"/>
                <w:color w:val="auto"/>
                <w:sz w:val="21"/>
                <w:szCs w:val="21"/>
                <w:highlight w:val="none"/>
              </w:rPr>
              <w:t>63.</w:t>
            </w:r>
            <w:r>
              <w:rPr>
                <w:rFonts w:hint="eastAsia"/>
                <w:sz w:val="21"/>
                <w:szCs w:val="21"/>
                <w:highlight w:val="none"/>
              </w:rPr>
              <w:t>★</w:t>
            </w:r>
            <w:r>
              <w:rPr>
                <w:rFonts w:hint="eastAsia"/>
                <w:color w:val="auto"/>
                <w:sz w:val="21"/>
                <w:szCs w:val="21"/>
                <w:highlight w:val="none"/>
              </w:rPr>
              <w:t>电源线与网络线等其它弱电线缆分离布放。所有供电线路均要求采用国标单芯或多芯铜线，严禁使用细丝装软铜电缆</w:t>
            </w:r>
            <w:r>
              <w:rPr>
                <w:rFonts w:hint="eastAsia"/>
                <w:b/>
                <w:bCs/>
                <w:color w:val="auto"/>
                <w:sz w:val="21"/>
                <w:szCs w:val="21"/>
                <w:highlight w:val="none"/>
              </w:rPr>
              <w:t>(说明：投标人提供承诺函，承诺拟投产品完全满足或者正偏离技术参数要求)。</w:t>
            </w:r>
          </w:p>
          <w:p>
            <w:pPr>
              <w:spacing w:line="320" w:lineRule="exact"/>
              <w:ind w:left="28"/>
              <w:rPr>
                <w:rFonts w:cs="宋体"/>
                <w:b/>
                <w:bCs/>
                <w:kern w:val="0"/>
                <w:sz w:val="21"/>
                <w:szCs w:val="21"/>
                <w:highlight w:val="none"/>
              </w:rPr>
            </w:pPr>
            <w:r>
              <w:rPr>
                <w:rFonts w:hint="eastAsia" w:cs="宋体"/>
                <w:sz w:val="21"/>
                <w:szCs w:val="21"/>
                <w:highlight w:val="none"/>
              </w:rPr>
              <w:t>64.完成设备380V三相交流电线路布线：由场地即有配电箱引出三相交流电，线路长度大于等于40米，需提供安装线槽对线路进行遮盖保护。各供电线路采用单相三线制(火线、零线、接地线)同规格的三根线路，供电线路颜色要求：火线、零线、接地线要分为三个颜色，走线时加装线槽。</w:t>
            </w:r>
          </w:p>
        </w:tc>
      </w:tr>
      <w:bookmarkEnd w:id="1017"/>
    </w:tbl>
    <w:p>
      <w:pPr>
        <w:numPr>
          <w:ilvl w:val="1"/>
          <w:numId w:val="27"/>
        </w:numPr>
        <w:wordWrap w:val="0"/>
        <w:topLinePunct/>
        <w:ind w:firstLine="482" w:firstLineChars="200"/>
        <w:outlineLvl w:val="1"/>
        <w:rPr>
          <w:rFonts w:cs="宋体"/>
          <w:b/>
          <w:highlight w:val="none"/>
        </w:rPr>
      </w:pPr>
      <w:bookmarkStart w:id="1018" w:name="_Toc12907"/>
      <w:bookmarkStart w:id="1019" w:name="_Toc25346"/>
      <w:bookmarkStart w:id="1020" w:name="_Toc12739"/>
      <w:bookmarkStart w:id="1021" w:name="_Toc8752_WPSOffice_Level2"/>
      <w:bookmarkStart w:id="1022" w:name="_Toc6974"/>
      <w:bookmarkStart w:id="1023" w:name="_Toc27497"/>
      <w:bookmarkStart w:id="1024" w:name="_Toc7101"/>
      <w:bookmarkStart w:id="1025" w:name="_Toc9683"/>
      <w:r>
        <w:rPr>
          <w:rFonts w:hint="eastAsia" w:cs="宋体"/>
          <w:b/>
          <w:highlight w:val="none"/>
        </w:rPr>
        <w:t>商务要求</w:t>
      </w:r>
      <w:bookmarkEnd w:id="1018"/>
      <w:bookmarkEnd w:id="1019"/>
    </w:p>
    <w:p>
      <w:pPr>
        <w:numPr>
          <w:ilvl w:val="1"/>
          <w:numId w:val="28"/>
        </w:numPr>
        <w:wordWrap w:val="0"/>
        <w:topLinePunct/>
        <w:ind w:firstLine="480" w:firstLineChars="200"/>
        <w:rPr>
          <w:rFonts w:cs="宋体"/>
          <w:b/>
          <w:bCs/>
          <w:highlight w:val="none"/>
        </w:rPr>
      </w:pPr>
      <w:r>
        <w:rPr>
          <w:rFonts w:hint="eastAsia" w:cs="宋体"/>
          <w:highlight w:val="none"/>
        </w:rPr>
        <w:t>★</w:t>
      </w:r>
      <w:r>
        <w:rPr>
          <w:rFonts w:hint="eastAsia" w:cs="宋体"/>
          <w:b/>
          <w:bCs/>
          <w:highlight w:val="none"/>
        </w:rPr>
        <w:t>履约时间及履约地点</w:t>
      </w:r>
    </w:p>
    <w:p>
      <w:pPr>
        <w:numPr>
          <w:ilvl w:val="0"/>
          <w:numId w:val="29"/>
        </w:numPr>
        <w:tabs>
          <w:tab w:val="clear" w:pos="312"/>
        </w:tabs>
        <w:wordWrap w:val="0"/>
        <w:topLinePunct/>
        <w:ind w:firstLine="480" w:firstLineChars="200"/>
        <w:rPr>
          <w:rFonts w:cs="宋体"/>
          <w:highlight w:val="none"/>
        </w:rPr>
      </w:pPr>
      <w:r>
        <w:rPr>
          <w:rFonts w:hint="eastAsia" w:cs="宋体"/>
          <w:highlight w:val="none"/>
        </w:rPr>
        <w:t>履约时间：</w:t>
      </w:r>
    </w:p>
    <w:p>
      <w:pPr>
        <w:numPr>
          <w:ilvl w:val="1"/>
          <w:numId w:val="0"/>
        </w:numPr>
        <w:wordWrap w:val="0"/>
        <w:topLinePunct/>
        <w:ind w:firstLine="480" w:firstLineChars="200"/>
        <w:rPr>
          <w:rFonts w:cs="宋体"/>
          <w:highlight w:val="none"/>
        </w:rPr>
      </w:pPr>
      <w:r>
        <w:rPr>
          <w:rFonts w:hint="eastAsia" w:cs="宋体"/>
          <w:highlight w:val="none"/>
        </w:rPr>
        <w:t>1.1供货时间：合同签订之日起30日历天内(含法定节假日、试运行)，完成设备送货、安装、调试、培训、试运行工作。</w:t>
      </w:r>
    </w:p>
    <w:p>
      <w:pPr>
        <w:numPr>
          <w:ilvl w:val="1"/>
          <w:numId w:val="0"/>
        </w:numPr>
        <w:wordWrap w:val="0"/>
        <w:topLinePunct/>
        <w:ind w:firstLine="480" w:firstLineChars="200"/>
        <w:rPr>
          <w:rFonts w:cs="宋体"/>
          <w:highlight w:val="none"/>
        </w:rPr>
      </w:pPr>
      <w:r>
        <w:rPr>
          <w:rFonts w:hint="eastAsia" w:cs="宋体"/>
          <w:highlight w:val="none"/>
        </w:rPr>
        <w:t>1.2售后服务时间：投标人提供3年的售后服务，售后服务期的起始日期为采购人现场设备验收合格之日起开始计算。</w:t>
      </w:r>
    </w:p>
    <w:p>
      <w:pPr>
        <w:numPr>
          <w:ilvl w:val="1"/>
          <w:numId w:val="0"/>
        </w:numPr>
        <w:wordWrap w:val="0"/>
        <w:topLinePunct/>
        <w:ind w:firstLine="480" w:firstLineChars="200"/>
        <w:rPr>
          <w:rFonts w:cs="宋体"/>
          <w:highlight w:val="none"/>
        </w:rPr>
      </w:pPr>
      <w:r>
        <w:rPr>
          <w:rFonts w:hint="eastAsia" w:cs="宋体"/>
          <w:highlight w:val="none"/>
        </w:rPr>
        <w:t>2.履约地点：成都市郫都区红光街道港通北三路1899号。</w:t>
      </w:r>
    </w:p>
    <w:p>
      <w:pPr>
        <w:numPr>
          <w:ilvl w:val="1"/>
          <w:numId w:val="28"/>
        </w:numPr>
        <w:wordWrap w:val="0"/>
        <w:topLinePunct/>
        <w:ind w:firstLine="482" w:firstLineChars="200"/>
        <w:rPr>
          <w:rFonts w:cs="宋体"/>
          <w:b/>
          <w:bCs/>
          <w:highlight w:val="none"/>
        </w:rPr>
      </w:pPr>
      <w:r>
        <w:rPr>
          <w:rFonts w:hint="eastAsia" w:cs="宋体"/>
          <w:b/>
          <w:bCs/>
          <w:highlight w:val="none"/>
        </w:rPr>
        <w:t>合同价款及支付方式</w:t>
      </w:r>
    </w:p>
    <w:p>
      <w:pPr>
        <w:numPr>
          <w:ilvl w:val="1"/>
          <w:numId w:val="0"/>
        </w:numPr>
        <w:wordWrap w:val="0"/>
        <w:topLinePunct/>
        <w:ind w:firstLine="480" w:firstLineChars="200"/>
        <w:rPr>
          <w:rFonts w:cs="宋体"/>
          <w:highlight w:val="none"/>
        </w:rPr>
      </w:pPr>
      <w:r>
        <w:rPr>
          <w:rFonts w:hint="eastAsia" w:cs="宋体"/>
          <w:highlight w:val="none"/>
        </w:rPr>
        <w:t>1.★合同价款</w:t>
      </w:r>
    </w:p>
    <w:p>
      <w:pPr>
        <w:numPr>
          <w:ilvl w:val="1"/>
          <w:numId w:val="0"/>
        </w:numPr>
        <w:wordWrap w:val="0"/>
        <w:topLinePunct/>
        <w:ind w:firstLine="480" w:firstLineChars="200"/>
        <w:rPr>
          <w:rFonts w:cs="宋体"/>
          <w:highlight w:val="none"/>
        </w:rPr>
      </w:pPr>
      <w:r>
        <w:rPr>
          <w:rFonts w:hint="eastAsia" w:cs="宋体"/>
          <w:highlight w:val="none"/>
        </w:rPr>
        <w:t>中标价为固定包干价格，包括但不限于设备的供货、包装、运输、安装、调试、培训、售后服务等与完成本项目有关的所有费用。本项目合同执行期间合同总价不变，投标人无须另向采购人支付合同规定之外的其他任何费用。</w:t>
      </w:r>
    </w:p>
    <w:p>
      <w:pPr>
        <w:numPr>
          <w:ilvl w:val="1"/>
          <w:numId w:val="0"/>
        </w:numPr>
        <w:wordWrap w:val="0"/>
        <w:topLinePunct/>
        <w:ind w:firstLine="480" w:firstLineChars="200"/>
        <w:rPr>
          <w:rFonts w:cs="宋体"/>
          <w:highlight w:val="none"/>
        </w:rPr>
      </w:pPr>
      <w:r>
        <w:rPr>
          <w:rFonts w:hint="eastAsia" w:cs="宋体"/>
          <w:highlight w:val="none"/>
        </w:rPr>
        <w:t>2.★支付方式</w:t>
      </w:r>
    </w:p>
    <w:p>
      <w:pPr>
        <w:ind w:firstLine="480" w:firstLineChars="200"/>
        <w:rPr>
          <w:rFonts w:cs="宋体"/>
          <w:highlight w:val="none"/>
        </w:rPr>
      </w:pPr>
      <w:r>
        <w:rPr>
          <w:rFonts w:hint="eastAsia" w:cs="宋体"/>
          <w:highlight w:val="none"/>
        </w:rPr>
        <w:t>2.1合同支付方式为分三次银行转账付款：(1)合同签订后，自采购人收到投标人提供的符合采购人财务要求且合法有效完整的等额完税发票之日起30个日历天内支付合同总金额的百分之三十的合同款。(2)投标人完成设备送货、安装、调试、培训工作，且货物经采购人初验合格后，自采购人收到投标人提供的符合采购人财务要求且合法有效完整的等额完税发票之日起30个日历天内支付合同总金额的百分之五十的合同款；如采购人收到发票之日早于货物初验收合格之日， 则自货物验收合格之日起30个日历天内付款。(3)试运行10个日历天内无质量问题且经过采购人货物终验收合格后，在收到投标人提供的符合采购人财务要求且合法有效完整的等额完税发票之日起30个日历天内支付合同总金额的百分之二十的合同款；如采购人收到发票之日早于货物终验收合格之日，则自货物终验收合格之日起30个日历天内付款。</w:t>
      </w:r>
    </w:p>
    <w:p>
      <w:pPr>
        <w:ind w:firstLine="480" w:firstLineChars="200"/>
        <w:rPr>
          <w:rFonts w:cs="宋体"/>
          <w:highlight w:val="none"/>
        </w:rPr>
      </w:pPr>
      <w:r>
        <w:rPr>
          <w:rFonts w:hint="eastAsia" w:cs="宋体"/>
          <w:highlight w:val="none"/>
        </w:rPr>
        <w:t>2.2投标人未提供增值税发票(普票或专票)，或发票经国税网验审不合格的，或者投标人提供的发票不满足采购人财务要求的，采购人有权拒付且不承担任何逾期付款的责任。</w:t>
      </w:r>
    </w:p>
    <w:p>
      <w:pPr>
        <w:ind w:firstLine="480" w:firstLineChars="200"/>
        <w:rPr>
          <w:rFonts w:cs="宋体"/>
          <w:highlight w:val="none"/>
        </w:rPr>
      </w:pPr>
      <w:r>
        <w:rPr>
          <w:rFonts w:hint="eastAsia" w:cs="宋体"/>
          <w:highlight w:val="none"/>
        </w:rPr>
        <w:t>2.3投标人保证提供的银行账户信息真实有效，如果投标人账户信息更改，需要在采购人付款前10个日历天内告知采购人，若因投标人原因导致采购人无法付款或错误付款，后果由投标人自行承担。</w:t>
      </w:r>
    </w:p>
    <w:p>
      <w:pPr>
        <w:numPr>
          <w:ilvl w:val="1"/>
          <w:numId w:val="28"/>
        </w:numPr>
        <w:wordWrap w:val="0"/>
        <w:topLinePunct/>
        <w:ind w:firstLine="482" w:firstLineChars="200"/>
        <w:rPr>
          <w:rFonts w:cs="宋体"/>
          <w:b/>
          <w:bCs/>
          <w:highlight w:val="none"/>
        </w:rPr>
      </w:pPr>
      <w:r>
        <w:rPr>
          <w:rFonts w:hint="eastAsia" w:cs="宋体"/>
          <w:b/>
          <w:bCs/>
          <w:highlight w:val="none"/>
        </w:rPr>
        <w:t>包装、运输及质量要求</w:t>
      </w:r>
    </w:p>
    <w:p>
      <w:pPr>
        <w:numPr>
          <w:ilvl w:val="1"/>
          <w:numId w:val="0"/>
        </w:numPr>
        <w:wordWrap w:val="0"/>
        <w:topLinePunct/>
        <w:ind w:firstLine="480" w:firstLineChars="200"/>
        <w:rPr>
          <w:rFonts w:cs="宋体"/>
          <w:highlight w:val="none"/>
        </w:rPr>
      </w:pPr>
      <w:r>
        <w:rPr>
          <w:rFonts w:hint="eastAsia" w:cs="宋体"/>
          <w:highlight w:val="none"/>
        </w:rPr>
        <w:t>★1.投标人应保证货物(含零部件、配件等)是全新、未使用过的原装合格正品，表面无划伤、无碰撞痕迹。</w:t>
      </w:r>
    </w:p>
    <w:p>
      <w:pPr>
        <w:numPr>
          <w:ilvl w:val="1"/>
          <w:numId w:val="0"/>
        </w:numPr>
        <w:wordWrap w:val="0"/>
        <w:topLinePunct/>
        <w:ind w:firstLine="480" w:firstLineChars="200"/>
        <w:rPr>
          <w:rFonts w:cs="宋体"/>
          <w:highlight w:val="none"/>
        </w:rPr>
      </w:pPr>
      <w:r>
        <w:rPr>
          <w:rFonts w:hint="eastAsia" w:cs="宋体"/>
          <w:highlight w:val="none"/>
        </w:rPr>
        <w:t>★2.若投标人提供的产品的质量或规格与招标文件和投标人的响应文件不符，或证实产品是有缺陷的，包括潜在的缺陷或使用不符合要求的产品等，投标人应在接到采购人书面通知后15日历天内完成换货，因换货产生的费用由投标人承担，如因不合格产品给采购人造成损失，投标人还应承担赔偿责任。</w:t>
      </w:r>
    </w:p>
    <w:p>
      <w:pPr>
        <w:numPr>
          <w:ilvl w:val="1"/>
          <w:numId w:val="0"/>
        </w:numPr>
        <w:wordWrap w:val="0"/>
        <w:topLinePunct/>
        <w:ind w:firstLine="480" w:firstLineChars="200"/>
        <w:rPr>
          <w:rFonts w:cs="宋体"/>
          <w:highlight w:val="none"/>
        </w:rPr>
      </w:pPr>
      <w:r>
        <w:rPr>
          <w:rFonts w:hint="eastAsia" w:cs="宋体"/>
          <w:highlight w:val="none"/>
        </w:rPr>
        <w:t>★3.投标人为本项目实施涉及的商品包装和快递包装，均符合财政部等三部门联合印发商品包装和快递包装政府采购需求标准(试行)(财办库[2020]123号)的要求，包装应适应于远距离运输、防潮、防震、防锈和防野蛮装 卸，以确保货物安全无损运抵指定地点。由于包装不善所引起的货物损失均由投标人承担。</w:t>
      </w:r>
    </w:p>
    <w:p>
      <w:pPr>
        <w:numPr>
          <w:ilvl w:val="1"/>
          <w:numId w:val="0"/>
        </w:numPr>
        <w:wordWrap w:val="0"/>
        <w:topLinePunct/>
        <w:ind w:firstLine="480" w:firstLineChars="200"/>
        <w:rPr>
          <w:rFonts w:cs="宋体"/>
          <w:highlight w:val="none"/>
        </w:rPr>
      </w:pPr>
      <w:r>
        <w:rPr>
          <w:rFonts w:hint="eastAsia" w:cs="宋体"/>
          <w:highlight w:val="none"/>
        </w:rPr>
        <w:t>4.包装方式为木箱包装，每一包装单元内应附详细的装箱单和质量合格凭证。</w:t>
      </w:r>
    </w:p>
    <w:p>
      <w:pPr>
        <w:numPr>
          <w:ilvl w:val="1"/>
          <w:numId w:val="0"/>
        </w:numPr>
        <w:wordWrap w:val="0"/>
        <w:topLinePunct/>
        <w:ind w:firstLine="480" w:firstLineChars="200"/>
        <w:rPr>
          <w:rFonts w:cs="宋体"/>
          <w:highlight w:val="none"/>
        </w:rPr>
      </w:pPr>
      <w:r>
        <w:rPr>
          <w:rFonts w:hint="eastAsia" w:cs="宋体"/>
          <w:highlight w:val="none"/>
        </w:rPr>
        <w:t>5.投标人将所有设备送达学校采购人指定地点后按照采购人确定的方案进行安装、调试等工作。</w:t>
      </w:r>
    </w:p>
    <w:p>
      <w:pPr>
        <w:numPr>
          <w:ilvl w:val="1"/>
          <w:numId w:val="0"/>
        </w:numPr>
        <w:wordWrap w:val="0"/>
        <w:topLinePunct/>
        <w:ind w:firstLine="480" w:firstLineChars="200"/>
        <w:rPr>
          <w:rFonts w:cs="宋体"/>
          <w:highlight w:val="none"/>
        </w:rPr>
      </w:pPr>
      <w:r>
        <w:rPr>
          <w:rFonts w:hint="eastAsia" w:cs="宋体"/>
          <w:highlight w:val="none"/>
        </w:rPr>
        <w:t>6.投标人严格按照国家相关规范进行安装和调试。</w:t>
      </w:r>
    </w:p>
    <w:p>
      <w:pPr>
        <w:numPr>
          <w:ilvl w:val="1"/>
          <w:numId w:val="0"/>
        </w:numPr>
        <w:wordWrap w:val="0"/>
        <w:topLinePunct/>
        <w:ind w:firstLine="480" w:firstLineChars="200"/>
        <w:rPr>
          <w:rFonts w:cs="宋体"/>
          <w:highlight w:val="none"/>
        </w:rPr>
      </w:pPr>
      <w:r>
        <w:rPr>
          <w:rFonts w:hint="eastAsia" w:cs="宋体"/>
          <w:highlight w:val="none"/>
        </w:rPr>
        <w:t>★7.投标人需确保采购清单中的1至8项安装调试后能实现城市轨道交通正线信号系统的联锁关系</w:t>
      </w:r>
      <w:r>
        <w:rPr>
          <w:rFonts w:hint="eastAsia" w:cs="宋体"/>
          <w:b/>
          <w:bCs/>
          <w:highlight w:val="none"/>
        </w:rPr>
        <w:t>(投标人应针对本项要求在其他投标文件中单独提供承诺函，格式自拟)。</w:t>
      </w:r>
    </w:p>
    <w:p>
      <w:pPr>
        <w:numPr>
          <w:ilvl w:val="1"/>
          <w:numId w:val="28"/>
        </w:numPr>
        <w:wordWrap w:val="0"/>
        <w:topLinePunct/>
        <w:ind w:firstLine="480" w:firstLineChars="200"/>
        <w:rPr>
          <w:rFonts w:cs="宋体"/>
          <w:b/>
          <w:bCs/>
          <w:highlight w:val="none"/>
        </w:rPr>
      </w:pPr>
      <w:r>
        <w:rPr>
          <w:rFonts w:hint="eastAsia" w:cs="宋体"/>
          <w:highlight w:val="none"/>
        </w:rPr>
        <w:t>★</w:t>
      </w:r>
      <w:r>
        <w:rPr>
          <w:rFonts w:hint="eastAsia" w:cs="宋体"/>
          <w:b/>
          <w:bCs/>
          <w:highlight w:val="none"/>
        </w:rPr>
        <w:t>售后服务及培训要求(投标人应针对本项要求在其他投标文件中单独提供承诺函，格式自拟)</w:t>
      </w:r>
    </w:p>
    <w:p>
      <w:pPr>
        <w:numPr>
          <w:ilvl w:val="1"/>
          <w:numId w:val="0"/>
        </w:numPr>
        <w:wordWrap w:val="0"/>
        <w:topLinePunct/>
        <w:ind w:firstLine="480" w:firstLineChars="200"/>
        <w:rPr>
          <w:rFonts w:cs="宋体"/>
          <w:highlight w:val="none"/>
        </w:rPr>
      </w:pPr>
      <w:r>
        <w:rPr>
          <w:rFonts w:hint="eastAsia" w:cs="宋体"/>
          <w:highlight w:val="none"/>
        </w:rPr>
        <w:t>1.售后服务分电话(含网络)服务和上门服务，售后服务期内，投标人在接到采购人故障报修后能在2小时内通过电话(含网络)服务排除故障的，则无需上门服务，若在规定时间内不能通过电话(含网络)服务排除故障的，投标人应在故障报修后的12小时内到达现场，到达现场后24小时内排除故障(若涉及主要零件更换或者返厂维修的故障排除时间由双方协商确定)。</w:t>
      </w:r>
    </w:p>
    <w:p>
      <w:pPr>
        <w:numPr>
          <w:ilvl w:val="1"/>
          <w:numId w:val="0"/>
        </w:numPr>
        <w:wordWrap w:val="0"/>
        <w:topLinePunct/>
        <w:ind w:firstLine="480" w:firstLineChars="200"/>
        <w:rPr>
          <w:rFonts w:cs="宋体"/>
          <w:highlight w:val="none"/>
        </w:rPr>
      </w:pPr>
      <w:r>
        <w:rPr>
          <w:rFonts w:hint="eastAsia" w:cs="宋体"/>
          <w:highlight w:val="none"/>
        </w:rPr>
        <w:t>2.售后服务范围包含元器件、配件、辅材等的维护和更换，软件的维护和升级。</w:t>
      </w:r>
    </w:p>
    <w:p>
      <w:pPr>
        <w:numPr>
          <w:ilvl w:val="1"/>
          <w:numId w:val="0"/>
        </w:numPr>
        <w:wordWrap w:val="0"/>
        <w:topLinePunct/>
        <w:ind w:firstLine="480" w:firstLineChars="200"/>
        <w:rPr>
          <w:rFonts w:cs="宋体"/>
          <w:highlight w:val="none"/>
        </w:rPr>
      </w:pPr>
      <w:r>
        <w:rPr>
          <w:rFonts w:hint="eastAsia" w:cs="宋体"/>
          <w:highlight w:val="none"/>
        </w:rPr>
        <w:t>3.售后服务期内，投标人二次维修都不能达到正常使用需求的，投标人提供免费更换服务。</w:t>
      </w:r>
    </w:p>
    <w:p>
      <w:pPr>
        <w:numPr>
          <w:ilvl w:val="1"/>
          <w:numId w:val="0"/>
        </w:numPr>
        <w:wordWrap w:val="0"/>
        <w:topLinePunct/>
        <w:ind w:firstLine="480" w:firstLineChars="200"/>
        <w:rPr>
          <w:rFonts w:cs="宋体"/>
          <w:highlight w:val="none"/>
        </w:rPr>
      </w:pPr>
      <w:r>
        <w:rPr>
          <w:rFonts w:hint="eastAsia" w:cs="宋体"/>
          <w:highlight w:val="none"/>
        </w:rPr>
        <w:t>4.售后服务期内涉及的人工、设备(含元器件、配件、辅材)维护和更换、软件的维护和升级等费用均由投标人承担。</w:t>
      </w:r>
    </w:p>
    <w:p>
      <w:pPr>
        <w:numPr>
          <w:ilvl w:val="1"/>
          <w:numId w:val="0"/>
        </w:numPr>
        <w:wordWrap w:val="0"/>
        <w:topLinePunct/>
        <w:ind w:firstLine="480" w:firstLineChars="200"/>
        <w:rPr>
          <w:rFonts w:cs="宋体"/>
          <w:highlight w:val="none"/>
        </w:rPr>
      </w:pPr>
      <w:r>
        <w:rPr>
          <w:rFonts w:hint="eastAsia" w:cs="宋体"/>
          <w:highlight w:val="none"/>
        </w:rPr>
        <w:t>5.投标人提供2次现场培训，每次时间不少于3天，包括设备和软件的安装、调试、维护、使用，确保采购人完全掌握设备和软件的各项功能。投标人为所有参培训人员提供文字资料和讲义等培训教材，培训教材以印刷品形式提供，费用由投标人承担。</w:t>
      </w:r>
    </w:p>
    <w:p>
      <w:pPr>
        <w:numPr>
          <w:ilvl w:val="1"/>
          <w:numId w:val="0"/>
        </w:numPr>
        <w:wordWrap w:val="0"/>
        <w:topLinePunct/>
        <w:ind w:firstLine="480" w:firstLineChars="200"/>
        <w:rPr>
          <w:rFonts w:cs="宋体"/>
          <w:highlight w:val="none"/>
        </w:rPr>
      </w:pPr>
      <w:r>
        <w:rPr>
          <w:rFonts w:hint="eastAsia" w:cs="宋体"/>
          <w:highlight w:val="none"/>
        </w:rPr>
        <w:t>6.售后服务期内投标人应为本项目所有设备以及软件提供巡检服务，每间隔6月巡检一次，且每次巡检结束后5个工作日内提供每套设备的详细巡检情况记录并加盖单位公章。</w:t>
      </w:r>
    </w:p>
    <w:p>
      <w:pPr>
        <w:numPr>
          <w:ilvl w:val="1"/>
          <w:numId w:val="28"/>
        </w:numPr>
        <w:wordWrap w:val="0"/>
        <w:topLinePunct/>
        <w:ind w:firstLine="482" w:firstLineChars="200"/>
        <w:rPr>
          <w:b/>
          <w:bCs/>
          <w:highlight w:val="none"/>
        </w:rPr>
      </w:pPr>
      <w:r>
        <w:rPr>
          <w:rFonts w:hint="eastAsia" w:cs="宋体"/>
          <w:b/>
          <w:bCs/>
          <w:highlight w:val="none"/>
        </w:rPr>
        <w:t>其他商务要求</w:t>
      </w:r>
    </w:p>
    <w:p>
      <w:pPr>
        <w:numPr>
          <w:ilvl w:val="1"/>
          <w:numId w:val="0"/>
        </w:numPr>
        <w:wordWrap w:val="0"/>
        <w:topLinePunct/>
        <w:ind w:firstLine="480" w:firstLineChars="200"/>
        <w:rPr>
          <w:rFonts w:hint="eastAsia" w:ascii="宋体" w:hAnsi="宋体" w:eastAsia="宋体" w:cs="宋体"/>
          <w:highlight w:val="none"/>
        </w:rPr>
      </w:pPr>
      <w:r>
        <w:rPr>
          <w:rFonts w:hint="eastAsia" w:ascii="宋体" w:hAnsi="宋体" w:eastAsia="宋体" w:cs="宋体"/>
          <w:highlight w:val="none"/>
        </w:rPr>
        <w:t>★1.投标人应保证在本项目使用的任何产品和服务</w:t>
      </w:r>
      <w:r>
        <w:rPr>
          <w:rFonts w:hint="eastAsia" w:ascii="宋体" w:hAnsi="宋体" w:eastAsia="宋体" w:cs="宋体"/>
          <w:highlight w:val="none"/>
          <w:lang w:eastAsia="zh-CN"/>
        </w:rPr>
        <w:t>(</w:t>
      </w:r>
      <w:r>
        <w:rPr>
          <w:rFonts w:hint="eastAsia" w:ascii="宋体" w:hAnsi="宋体" w:eastAsia="宋体" w:cs="宋体"/>
          <w:highlight w:val="none"/>
        </w:rPr>
        <w:t>包括部分使用</w:t>
      </w:r>
      <w:r>
        <w:rPr>
          <w:rFonts w:hint="eastAsia" w:ascii="宋体" w:hAnsi="宋体" w:eastAsia="宋体" w:cs="宋体"/>
          <w:highlight w:val="none"/>
          <w:lang w:eastAsia="zh-CN"/>
        </w:rPr>
        <w:t>)</w:t>
      </w:r>
      <w:r>
        <w:rPr>
          <w:rFonts w:hint="eastAsia" w:ascii="宋体" w:hAnsi="宋体" w:eastAsia="宋体" w:cs="宋体"/>
          <w:highlight w:val="none"/>
        </w:rPr>
        <w:t>时，不会产生因第三方提出侵犯其专利权、商标权或其它知识产权而引起的法律和经济纠纷，如因专利权、商标权或其它知识产权而引起法律和经济纠纷，由投标人承担所有相关责任。(投标人应针对本项要求在其他投标文件中单独提供承诺函，格式自拟)</w:t>
      </w:r>
    </w:p>
    <w:p>
      <w:pPr>
        <w:numPr>
          <w:ilvl w:val="1"/>
          <w:numId w:val="0"/>
        </w:numPr>
        <w:wordWrap w:val="0"/>
        <w:topLinePunct/>
        <w:ind w:firstLine="480" w:firstLineChars="200"/>
        <w:rPr>
          <w:rFonts w:hint="eastAsia" w:ascii="宋体" w:hAnsi="宋体" w:eastAsia="宋体" w:cs="宋体"/>
          <w:highlight w:val="none"/>
        </w:rPr>
      </w:pPr>
      <w:r>
        <w:rPr>
          <w:rFonts w:hint="eastAsia" w:ascii="宋体" w:hAnsi="宋体" w:eastAsia="宋体" w:cs="宋体"/>
          <w:highlight w:val="none"/>
        </w:rPr>
        <w:t>★2.如因投标人工作人员在履行职务过程中的疏忽、失职、过错等故意或者过失原因给采购人造成损失或侵害，包括但不限于采购人本身的财产损失、由此而导致的采购人对任何第三方的法律责任等，投标人对此均应承担全部的赔偿责任。(投标人应针对本项要求在其他投标文件中单独提供承诺函，格式自拟)</w:t>
      </w:r>
    </w:p>
    <w:p>
      <w:pPr>
        <w:ind w:firstLine="480" w:firstLineChars="200"/>
        <w:rPr>
          <w:highlight w:val="none"/>
        </w:rPr>
      </w:pPr>
      <w:r>
        <w:rPr>
          <w:rFonts w:hint="eastAsia" w:cs="宋体"/>
          <w:highlight w:val="none"/>
        </w:rPr>
        <w:t>3</w:t>
      </w:r>
      <w:r>
        <w:rPr>
          <w:rFonts w:cs="宋体"/>
          <w:highlight w:val="none"/>
        </w:rPr>
        <w:t>.</w:t>
      </w:r>
      <w:r>
        <w:rPr>
          <w:rFonts w:hint="eastAsia" w:cs="宋体"/>
          <w:highlight w:val="none"/>
        </w:rPr>
        <w:t>投标人为本项目配置的服务团队不少于5人。</w:t>
      </w:r>
    </w:p>
    <w:p>
      <w:pPr>
        <w:numPr>
          <w:ilvl w:val="1"/>
          <w:numId w:val="27"/>
        </w:numPr>
        <w:wordWrap w:val="0"/>
        <w:topLinePunct/>
        <w:ind w:firstLine="480" w:firstLineChars="200"/>
        <w:outlineLvl w:val="1"/>
        <w:rPr>
          <w:rFonts w:cs="宋体"/>
          <w:b/>
          <w:bCs/>
          <w:highlight w:val="none"/>
        </w:rPr>
      </w:pPr>
      <w:bookmarkStart w:id="1026" w:name="_Toc4141"/>
      <w:r>
        <w:rPr>
          <w:rFonts w:hint="eastAsia" w:cs="宋体"/>
          <w:highlight w:val="none"/>
        </w:rPr>
        <w:t>★</w:t>
      </w:r>
      <w:r>
        <w:rPr>
          <w:rFonts w:hint="eastAsia" w:cs="宋体"/>
          <w:b/>
          <w:bCs/>
          <w:highlight w:val="none"/>
        </w:rPr>
        <w:t>履约保证金</w:t>
      </w:r>
      <w:bookmarkEnd w:id="1026"/>
    </w:p>
    <w:p>
      <w:pPr>
        <w:ind w:firstLine="480" w:firstLineChars="200"/>
        <w:rPr>
          <w:rFonts w:cs="宋体"/>
          <w:highlight w:val="none"/>
        </w:rPr>
      </w:pPr>
      <w:r>
        <w:rPr>
          <w:rFonts w:hint="eastAsia" w:cs="宋体"/>
          <w:highlight w:val="none"/>
        </w:rPr>
        <w:t>1.本项目履约保证金为中标金额的百分之五，投标人应在中标通知书发出之日起至合同签订前，以支票、汇票、本票或者金融机构出具的保函等非现金形式向采购人交纳规定金额的履约保证金。</w:t>
      </w:r>
    </w:p>
    <w:p>
      <w:pPr>
        <w:ind w:firstLine="480" w:firstLineChars="200"/>
        <w:rPr>
          <w:rFonts w:cs="宋体"/>
          <w:highlight w:val="none"/>
        </w:rPr>
      </w:pPr>
      <w:r>
        <w:rPr>
          <w:rFonts w:hint="eastAsia" w:cs="宋体"/>
          <w:highlight w:val="none"/>
        </w:rPr>
        <w:t>2.履行合同约定(含售后服务)毕后,无质量问题和违约责任情况，投标人凭“验收报告单”、“收到退还履约保证金的收据”、“履约保证金退还申请”到采购人计财处办理，无息退还。采购人收到投标人提交的履约保证金退还申请等资料并经采购人审核后，30个日历日内退还投标人应退部分履约保证金。因采购人原因逾期退还的，应当以未退还金额为基数，按合同订立时1年期贷款市场报价利率标准向投标人支付相应违约金，但违约金最高不得超过未退还金额的百分之二十。</w:t>
      </w:r>
    </w:p>
    <w:p>
      <w:pPr>
        <w:ind w:firstLine="480" w:firstLineChars="200"/>
        <w:rPr>
          <w:rFonts w:cs="宋体"/>
          <w:highlight w:val="none"/>
        </w:rPr>
      </w:pPr>
      <w:r>
        <w:rPr>
          <w:rFonts w:hint="eastAsia" w:cs="宋体"/>
          <w:highlight w:val="none"/>
        </w:rPr>
        <w:t>3.履约保证金汇入的银行及账号：</w:t>
      </w:r>
    </w:p>
    <w:p>
      <w:pPr>
        <w:ind w:firstLine="480" w:firstLineChars="200"/>
        <w:rPr>
          <w:rFonts w:cs="宋体"/>
          <w:highlight w:val="none"/>
        </w:rPr>
      </w:pPr>
      <w:r>
        <w:rPr>
          <w:rFonts w:hint="eastAsia" w:cs="宋体"/>
          <w:highlight w:val="none"/>
        </w:rPr>
        <w:t xml:space="preserve">    收款账号：成都市技师学院</w:t>
      </w:r>
    </w:p>
    <w:p>
      <w:pPr>
        <w:ind w:firstLine="480" w:firstLineChars="200"/>
        <w:rPr>
          <w:rFonts w:cs="宋体"/>
          <w:highlight w:val="none"/>
        </w:rPr>
      </w:pPr>
      <w:r>
        <w:rPr>
          <w:rFonts w:hint="eastAsia" w:cs="宋体"/>
          <w:highlight w:val="none"/>
        </w:rPr>
        <w:t xml:space="preserve">    开户行：工行成都红光支行</w:t>
      </w:r>
    </w:p>
    <w:p>
      <w:pPr>
        <w:ind w:firstLine="480" w:firstLineChars="200"/>
        <w:rPr>
          <w:rFonts w:cs="宋体"/>
          <w:highlight w:val="none"/>
        </w:rPr>
      </w:pPr>
      <w:r>
        <w:rPr>
          <w:rFonts w:hint="eastAsia" w:cs="宋体"/>
          <w:highlight w:val="none"/>
        </w:rPr>
        <w:t xml:space="preserve">    银行账号：4402054609100031151</w:t>
      </w:r>
    </w:p>
    <w:p>
      <w:pPr>
        <w:ind w:firstLine="480" w:firstLineChars="200"/>
        <w:rPr>
          <w:rFonts w:cs="宋体"/>
          <w:highlight w:val="none"/>
        </w:rPr>
      </w:pPr>
      <w:r>
        <w:rPr>
          <w:rFonts w:hint="eastAsia" w:cs="宋体"/>
          <w:highlight w:val="none"/>
        </w:rPr>
        <w:t>4.如投标人未按时足额向采购人交纳履约保证金，采购人有权按照评审报告确定的投标人选人名单顺序，确定下一候选人为中标投标人，或重新开展政府采购活动。</w:t>
      </w:r>
    </w:p>
    <w:p>
      <w:pPr>
        <w:ind w:firstLine="480" w:firstLineChars="200"/>
        <w:rPr>
          <w:rFonts w:cs="宋体"/>
          <w:highlight w:val="none"/>
          <w:lang w:val="zh-CN"/>
        </w:rPr>
      </w:pPr>
      <w:r>
        <w:rPr>
          <w:rFonts w:hint="eastAsia" w:cs="宋体"/>
          <w:highlight w:val="none"/>
        </w:rPr>
        <w:t>5.履约保证金不予退还情形：一是投标人未按合同要求履行的，其履约保证金全部扣除。二是投标人缴纳了履约保证金，但因自身原因被取消中标资格或在中标通知书发出之日起30个日历天(含法定节假日)内投标人不按招标文件确定的事项与采购人签订合同的，其履约保证金不予退还；三是法律法规或合同约定的其他情形。履约保证金不予退还的，将按照有关规定上缴国库。</w:t>
      </w:r>
    </w:p>
    <w:p>
      <w:pPr>
        <w:numPr>
          <w:ilvl w:val="1"/>
          <w:numId w:val="27"/>
        </w:numPr>
        <w:wordWrap w:val="0"/>
        <w:topLinePunct/>
        <w:ind w:firstLine="482" w:firstLineChars="200"/>
        <w:outlineLvl w:val="1"/>
        <w:rPr>
          <w:rFonts w:cs="宋体"/>
          <w:b/>
          <w:bCs/>
          <w:highlight w:val="none"/>
        </w:rPr>
      </w:pPr>
      <w:bookmarkStart w:id="1027" w:name="_Toc42"/>
      <w:bookmarkStart w:id="1028" w:name="_Toc32135"/>
      <w:r>
        <w:rPr>
          <w:rFonts w:hint="eastAsia" w:cs="宋体"/>
          <w:b/>
          <w:bCs/>
          <w:highlight w:val="none"/>
        </w:rPr>
        <w:t>验收标准和方法</w:t>
      </w:r>
      <w:bookmarkEnd w:id="1027"/>
      <w:bookmarkEnd w:id="1028"/>
    </w:p>
    <w:p>
      <w:pPr>
        <w:numPr>
          <w:ilvl w:val="1"/>
          <w:numId w:val="0"/>
        </w:numPr>
        <w:wordWrap w:val="0"/>
        <w:topLinePunct/>
        <w:ind w:firstLine="480" w:firstLineChars="200"/>
        <w:rPr>
          <w:rFonts w:cs="宋体"/>
          <w:highlight w:val="none"/>
        </w:rPr>
      </w:pPr>
      <w:r>
        <w:rPr>
          <w:rFonts w:hint="eastAsia" w:cs="宋体"/>
          <w:highlight w:val="none"/>
        </w:rPr>
        <w:t>1.验收的主体：采购人</w:t>
      </w:r>
    </w:p>
    <w:p>
      <w:pPr>
        <w:numPr>
          <w:ilvl w:val="1"/>
          <w:numId w:val="0"/>
        </w:numPr>
        <w:wordWrap w:val="0"/>
        <w:topLinePunct/>
        <w:ind w:firstLine="480" w:firstLineChars="200"/>
        <w:rPr>
          <w:rFonts w:cs="宋体"/>
          <w:highlight w:val="none"/>
        </w:rPr>
      </w:pPr>
      <w:r>
        <w:rPr>
          <w:rFonts w:hint="eastAsia" w:cs="宋体"/>
          <w:highlight w:val="none"/>
        </w:rPr>
        <w:t>2.验收的时间：</w:t>
      </w:r>
    </w:p>
    <w:p>
      <w:pPr>
        <w:numPr>
          <w:ilvl w:val="1"/>
          <w:numId w:val="0"/>
        </w:numPr>
        <w:wordWrap w:val="0"/>
        <w:topLinePunct/>
        <w:ind w:firstLine="480" w:firstLineChars="200"/>
        <w:rPr>
          <w:rFonts w:cs="宋体"/>
          <w:highlight w:val="none"/>
        </w:rPr>
      </w:pPr>
      <w:r>
        <w:rPr>
          <w:rFonts w:hint="eastAsia" w:cs="宋体"/>
          <w:highlight w:val="none"/>
        </w:rPr>
        <w:t>(1)投标人完成送货、安装调试工作后，书面通知采购人初步验收，采购人收到初步验收申请后5日历天内组织初步验收。</w:t>
      </w:r>
    </w:p>
    <w:p>
      <w:pPr>
        <w:numPr>
          <w:ilvl w:val="1"/>
          <w:numId w:val="0"/>
        </w:numPr>
        <w:wordWrap w:val="0"/>
        <w:topLinePunct/>
        <w:ind w:firstLine="480" w:firstLineChars="200"/>
        <w:rPr>
          <w:rFonts w:cs="宋体"/>
          <w:highlight w:val="none"/>
        </w:rPr>
      </w:pPr>
      <w:r>
        <w:rPr>
          <w:rFonts w:hint="eastAsia" w:cs="宋体"/>
          <w:highlight w:val="none"/>
        </w:rPr>
        <w:t>(2)初步验收合格后，进入10日历天试用期，试用期间发生一般性质量问题，修复后试用期相应顺延，试用期结束且采购人收到投标人设备终验收申请后5日历天内完成设备终验收。</w:t>
      </w:r>
    </w:p>
    <w:p>
      <w:pPr>
        <w:numPr>
          <w:ilvl w:val="1"/>
          <w:numId w:val="0"/>
        </w:numPr>
        <w:wordWrap w:val="0"/>
        <w:topLinePunct/>
        <w:ind w:firstLine="480" w:firstLineChars="200"/>
        <w:rPr>
          <w:rFonts w:cs="宋体"/>
          <w:highlight w:val="none"/>
        </w:rPr>
      </w:pPr>
      <w:r>
        <w:rPr>
          <w:rFonts w:hint="eastAsia" w:cs="宋体"/>
          <w:highlight w:val="none"/>
        </w:rPr>
        <w:t>(3)售后服务期结束且采购人收到投标人售后服务整体验收申请之日起5日历天内完成售后服务整体验收。</w:t>
      </w:r>
    </w:p>
    <w:p>
      <w:pPr>
        <w:numPr>
          <w:ilvl w:val="1"/>
          <w:numId w:val="0"/>
        </w:numPr>
        <w:wordWrap w:val="0"/>
        <w:topLinePunct/>
        <w:ind w:firstLine="480" w:firstLineChars="200"/>
        <w:rPr>
          <w:rFonts w:cs="宋体"/>
          <w:highlight w:val="none"/>
        </w:rPr>
      </w:pPr>
      <w:r>
        <w:rPr>
          <w:rFonts w:hint="eastAsia" w:cs="宋体"/>
          <w:highlight w:val="none"/>
        </w:rPr>
        <w:t>3.验收的方式：初步验收和设备终验收为现场测试验收，售后服务验收为考核验收(投标人每次按照售后服务要求提供服务的视为单次售后服务合格，售后服务期内售后服务合格率【售后服务合格次数/售后服务总次数】低于百分之九十五视为售后服务不合格)。</w:t>
      </w:r>
    </w:p>
    <w:p>
      <w:pPr>
        <w:numPr>
          <w:ilvl w:val="1"/>
          <w:numId w:val="0"/>
        </w:numPr>
        <w:wordWrap w:val="0"/>
        <w:topLinePunct/>
        <w:ind w:firstLine="480" w:firstLineChars="200"/>
        <w:rPr>
          <w:rFonts w:cs="宋体"/>
          <w:highlight w:val="none"/>
        </w:rPr>
      </w:pPr>
      <w:r>
        <w:rPr>
          <w:rFonts w:hint="eastAsia" w:cs="宋体"/>
          <w:highlight w:val="none"/>
        </w:rPr>
        <w:t>4.验收的程序：</w:t>
      </w:r>
    </w:p>
    <w:p>
      <w:pPr>
        <w:numPr>
          <w:ilvl w:val="1"/>
          <w:numId w:val="0"/>
        </w:numPr>
        <w:wordWrap w:val="0"/>
        <w:topLinePunct/>
        <w:ind w:firstLine="480" w:firstLineChars="200"/>
        <w:rPr>
          <w:rFonts w:cs="宋体"/>
          <w:highlight w:val="none"/>
        </w:rPr>
      </w:pPr>
      <w:r>
        <w:rPr>
          <w:rFonts w:hint="eastAsia" w:cs="宋体"/>
          <w:highlight w:val="none"/>
        </w:rPr>
        <w:t>(1)投标人递交初步验收或设备终验收申请后，采购人组织3人以上的验收小组进行现场测试验收；验收合格，则签署《初步验收报告单》或《验收报告单》；若验收不合格，投标人应在接到采购人整改通知之日起15个日历天内完成整改，再由采购人组织重新验收，若再次验收不合格则视为投标人不能履约，采购人有权终止合同，并按合同约定追究投标人的违约责任。</w:t>
      </w:r>
    </w:p>
    <w:p>
      <w:pPr>
        <w:numPr>
          <w:ilvl w:val="1"/>
          <w:numId w:val="0"/>
        </w:numPr>
        <w:wordWrap w:val="0"/>
        <w:topLinePunct/>
        <w:ind w:firstLine="480" w:firstLineChars="200"/>
        <w:rPr>
          <w:highlight w:val="none"/>
        </w:rPr>
      </w:pPr>
      <w:r>
        <w:rPr>
          <w:rFonts w:hint="eastAsia" w:cs="宋体"/>
          <w:highlight w:val="none"/>
        </w:rPr>
        <w:t>(2)单次售后服务完成后，由采购人的经办人现场验收并记录，该记录作为售后服务整体验收的依据。</w:t>
      </w:r>
      <w:r>
        <w:rPr>
          <w:rFonts w:hint="eastAsia" w:cs="宋体"/>
          <w:bCs/>
          <w:highlight w:val="none"/>
        </w:rPr>
        <w:t>投标人递交售后服务整体验收申请后，采购人组织3人以上的验收小组核查售后服务合格率；</w:t>
      </w:r>
      <w:r>
        <w:rPr>
          <w:rFonts w:hint="eastAsia" w:cs="宋体"/>
          <w:highlight w:val="none"/>
        </w:rPr>
        <w:t>验收合格，则签署《验收报告单》；若验收不合格，采购人有权终止合同，并按合同约定追究投标人的违约责任。</w:t>
      </w:r>
    </w:p>
    <w:p>
      <w:pPr>
        <w:numPr>
          <w:ilvl w:val="1"/>
          <w:numId w:val="0"/>
        </w:numPr>
        <w:wordWrap w:val="0"/>
        <w:topLinePunct/>
        <w:ind w:firstLine="480" w:firstLineChars="200"/>
        <w:rPr>
          <w:rFonts w:cs="宋体"/>
          <w:highlight w:val="none"/>
        </w:rPr>
      </w:pPr>
      <w:r>
        <w:rPr>
          <w:rFonts w:hint="eastAsia" w:cs="宋体"/>
          <w:highlight w:val="none"/>
        </w:rPr>
        <w:t>5.验收的内容：</w:t>
      </w:r>
    </w:p>
    <w:p>
      <w:pPr>
        <w:numPr>
          <w:ilvl w:val="1"/>
          <w:numId w:val="0"/>
        </w:numPr>
        <w:wordWrap w:val="0"/>
        <w:topLinePunct/>
        <w:ind w:firstLine="480" w:firstLineChars="200"/>
        <w:rPr>
          <w:rFonts w:cs="宋体"/>
          <w:highlight w:val="none"/>
        </w:rPr>
      </w:pPr>
      <w:r>
        <w:rPr>
          <w:rFonts w:hint="eastAsia" w:cs="宋体"/>
          <w:highlight w:val="none"/>
        </w:rPr>
        <w:t xml:space="preserve">(1)初步验收内容包括品牌、型号、数量、外观、安装调试、运行状况、培训、使用说明或手册、合格证书、原厂保修单； </w:t>
      </w:r>
    </w:p>
    <w:p>
      <w:pPr>
        <w:numPr>
          <w:ilvl w:val="1"/>
          <w:numId w:val="0"/>
        </w:numPr>
        <w:wordWrap w:val="0"/>
        <w:topLinePunct/>
        <w:ind w:firstLine="480" w:firstLineChars="200"/>
        <w:rPr>
          <w:rFonts w:cs="宋体"/>
          <w:highlight w:val="none"/>
        </w:rPr>
      </w:pPr>
      <w:r>
        <w:rPr>
          <w:rFonts w:hint="eastAsia" w:cs="宋体"/>
          <w:highlight w:val="none"/>
        </w:rPr>
        <w:t>(2)试运行结束后的设备验收内容包括每一项技术和商务要求(售后服务除外)的履约情况；</w:t>
      </w:r>
    </w:p>
    <w:p>
      <w:pPr>
        <w:numPr>
          <w:ilvl w:val="1"/>
          <w:numId w:val="0"/>
        </w:numPr>
        <w:wordWrap w:val="0"/>
        <w:topLinePunct/>
        <w:ind w:firstLine="480" w:firstLineChars="200"/>
        <w:rPr>
          <w:rFonts w:cs="宋体"/>
          <w:highlight w:val="none"/>
        </w:rPr>
      </w:pPr>
      <w:r>
        <w:rPr>
          <w:rFonts w:hint="eastAsia" w:cs="宋体"/>
          <w:highlight w:val="none"/>
        </w:rPr>
        <w:t>(3)售后服务验收内容包括售后服务要求中每一项要求的履约情况。</w:t>
      </w:r>
    </w:p>
    <w:p>
      <w:pPr>
        <w:numPr>
          <w:ilvl w:val="1"/>
          <w:numId w:val="0"/>
        </w:numPr>
        <w:wordWrap w:val="0"/>
        <w:topLinePunct/>
        <w:ind w:firstLine="480" w:firstLineChars="200"/>
        <w:rPr>
          <w:rFonts w:cs="宋体"/>
          <w:highlight w:val="none"/>
        </w:rPr>
      </w:pPr>
      <w:r>
        <w:rPr>
          <w:rFonts w:hint="eastAsia" w:cs="宋体"/>
          <w:highlight w:val="none"/>
        </w:rPr>
        <w:t>6.验收的标准：按招标文件的质量要求和技术指标、投标人的响应文件及承诺、合同约定进行验收。其他未尽事宜应按照《财政部关于进一步加强政府采购需求和履约验收管理的指导意见》(财库〔2016〕205 号)的要求进行验收。</w:t>
      </w:r>
    </w:p>
    <w:p>
      <w:pPr>
        <w:numPr>
          <w:ilvl w:val="1"/>
          <w:numId w:val="0"/>
        </w:numPr>
        <w:wordWrap w:val="0"/>
        <w:topLinePunct/>
        <w:ind w:firstLine="480" w:firstLineChars="200"/>
        <w:rPr>
          <w:rFonts w:cs="宋体"/>
          <w:highlight w:val="none"/>
        </w:rPr>
      </w:pPr>
      <w:r>
        <w:rPr>
          <w:rFonts w:hint="eastAsia" w:cs="宋体"/>
          <w:highlight w:val="none"/>
        </w:rPr>
        <w:t>7.交付标准及方式：投标人向采购人移交了装箱清单、配件、随机工具、使用说明或手册、合格证书、原厂保修单等资料，并在采购人指定地点完成设备安装、调整、培训、试运行等工作且通过设备终验收视为投标人交货。</w:t>
      </w:r>
    </w:p>
    <w:p>
      <w:pPr>
        <w:numPr>
          <w:ilvl w:val="1"/>
          <w:numId w:val="27"/>
        </w:numPr>
        <w:wordWrap w:val="0"/>
        <w:topLinePunct/>
        <w:ind w:firstLine="482" w:firstLineChars="200"/>
        <w:outlineLvl w:val="1"/>
        <w:rPr>
          <w:rFonts w:cs="宋体"/>
          <w:b/>
          <w:highlight w:val="none"/>
        </w:rPr>
      </w:pPr>
      <w:bookmarkStart w:id="1029" w:name="_Toc22164"/>
      <w:bookmarkStart w:id="1030" w:name="_Toc19386"/>
      <w:r>
        <w:rPr>
          <w:rFonts w:hint="eastAsia" w:cs="宋体"/>
          <w:b/>
          <w:highlight w:val="none"/>
        </w:rPr>
        <w:t>履约要求</w:t>
      </w:r>
      <w:bookmarkEnd w:id="1029"/>
      <w:bookmarkEnd w:id="1030"/>
    </w:p>
    <w:p>
      <w:pPr>
        <w:numPr>
          <w:ilvl w:val="1"/>
          <w:numId w:val="0"/>
        </w:numPr>
        <w:wordWrap w:val="0"/>
        <w:topLinePunct/>
        <w:ind w:firstLine="480" w:firstLineChars="200"/>
        <w:rPr>
          <w:rFonts w:cs="宋体"/>
          <w:highlight w:val="none"/>
        </w:rPr>
      </w:pPr>
      <w:r>
        <w:rPr>
          <w:rFonts w:hint="eastAsia" w:cs="宋体"/>
          <w:highlight w:val="none"/>
        </w:rPr>
        <w:t>1.投标产品曾为职业技能大赛使用产品。</w:t>
      </w:r>
    </w:p>
    <w:p>
      <w:pPr>
        <w:numPr>
          <w:ilvl w:val="1"/>
          <w:numId w:val="0"/>
        </w:numPr>
        <w:wordWrap w:val="0"/>
        <w:topLinePunct/>
        <w:ind w:firstLine="480" w:firstLineChars="200"/>
        <w:rPr>
          <w:rFonts w:cs="宋体"/>
          <w:highlight w:val="none"/>
        </w:rPr>
      </w:pPr>
      <w:r>
        <w:rPr>
          <w:rFonts w:hint="eastAsia" w:cs="宋体"/>
          <w:highlight w:val="none"/>
        </w:rPr>
        <w:t>2.投标人为本项目配置的服务团队人员中应有城市轨道交通通信信号技术相关专业且取得中级及以上信号工证书的人员。</w:t>
      </w:r>
    </w:p>
    <w:bookmarkEnd w:id="1020"/>
    <w:bookmarkEnd w:id="1021"/>
    <w:bookmarkEnd w:id="1022"/>
    <w:bookmarkEnd w:id="1023"/>
    <w:bookmarkEnd w:id="1024"/>
    <w:bookmarkEnd w:id="1025"/>
    <w:p>
      <w:pPr>
        <w:ind w:firstLine="482" w:firstLineChars="200"/>
        <w:rPr>
          <w:rFonts w:cs="宋体"/>
          <w:highlight w:val="none"/>
        </w:rPr>
      </w:pPr>
      <w:r>
        <w:rPr>
          <w:rFonts w:hint="eastAsia" w:cs="宋体"/>
          <w:b/>
          <w:snapToGrid w:val="0"/>
          <w:highlight w:val="none"/>
        </w:rPr>
        <w:t>注意：本章带“▲”号项目作为关键性指标要求</w:t>
      </w:r>
      <w:r>
        <w:rPr>
          <w:rFonts w:hint="eastAsia" w:cs="宋体"/>
          <w:b/>
          <w:snapToGrid w:val="0"/>
          <w:highlight w:val="none"/>
          <w:lang w:val="en-US" w:eastAsia="zh-CN"/>
        </w:rPr>
        <w:t>，如未满足将根据评分办法规定分别进行扣分。</w:t>
      </w:r>
      <w:r>
        <w:rPr>
          <w:rFonts w:hint="eastAsia" w:cs="宋体"/>
          <w:b/>
          <w:snapToGrid w:val="0"/>
          <w:highlight w:val="none"/>
        </w:rPr>
        <w:t>带“★”号条款为实质性要求，投标人若未满足的，将被视为无效投标。</w:t>
      </w:r>
    </w:p>
    <w:p>
      <w:pPr>
        <w:widowControl/>
        <w:rPr>
          <w:rFonts w:cs="宋体"/>
          <w:sz w:val="32"/>
          <w:szCs w:val="32"/>
          <w:highlight w:val="none"/>
        </w:rPr>
      </w:pPr>
      <w:r>
        <w:rPr>
          <w:rFonts w:hint="eastAsia" w:cs="宋体"/>
          <w:sz w:val="32"/>
          <w:szCs w:val="32"/>
          <w:highlight w:val="none"/>
        </w:rPr>
        <w:br w:type="page"/>
      </w:r>
    </w:p>
    <w:bookmarkEnd w:id="991"/>
    <w:bookmarkEnd w:id="992"/>
    <w:bookmarkEnd w:id="993"/>
    <w:p>
      <w:pPr>
        <w:pStyle w:val="28"/>
        <w:numPr>
          <w:ilvl w:val="0"/>
          <w:numId w:val="12"/>
        </w:numPr>
        <w:spacing w:before="120" w:after="120"/>
        <w:rPr>
          <w:highlight w:val="none"/>
        </w:rPr>
      </w:pPr>
      <w:bookmarkStart w:id="1031" w:name="_Toc10507"/>
      <w:bookmarkStart w:id="1032" w:name="_Toc32447"/>
      <w:bookmarkStart w:id="1033" w:name="_Toc10570"/>
      <w:bookmarkStart w:id="1034" w:name="_Toc2232"/>
      <w:bookmarkStart w:id="1035" w:name="_Toc319440188"/>
      <w:bookmarkStart w:id="1036" w:name="_Toc25435"/>
      <w:bookmarkStart w:id="1037" w:name="_Toc1543"/>
      <w:bookmarkStart w:id="1038" w:name="_Toc208849007"/>
      <w:bookmarkStart w:id="1039" w:name="_Toc483"/>
      <w:bookmarkStart w:id="1040" w:name="_Toc309897563"/>
      <w:bookmarkStart w:id="1041" w:name="_Toc327196339"/>
      <w:bookmarkStart w:id="1042" w:name="_Toc4553"/>
      <w:bookmarkStart w:id="1043" w:name="_Toc308084645"/>
      <w:bookmarkStart w:id="1044" w:name="_Toc11039"/>
      <w:bookmarkStart w:id="1045" w:name="_Toc183682415"/>
      <w:bookmarkStart w:id="1046" w:name="_Toc21302"/>
      <w:bookmarkStart w:id="1047" w:name="_Toc3881"/>
      <w:bookmarkStart w:id="1048" w:name="_Toc217446097"/>
      <w:bookmarkStart w:id="1049" w:name="_Toc26923"/>
      <w:bookmarkStart w:id="1050" w:name="_Toc307501154"/>
      <w:bookmarkStart w:id="1051" w:name="_Toc308188198"/>
      <w:bookmarkStart w:id="1052" w:name="_Toc25959"/>
      <w:bookmarkStart w:id="1053" w:name="_Toc307564896"/>
      <w:bookmarkStart w:id="1054" w:name="_Toc183582280"/>
      <w:bookmarkStart w:id="1055" w:name="_Toc319439946"/>
      <w:r>
        <w:rPr>
          <w:rFonts w:hint="eastAsia"/>
          <w:highlight w:val="none"/>
        </w:rPr>
        <w:t>评标办法</w:t>
      </w:r>
      <w:bookmarkEnd w:id="1031"/>
      <w:bookmarkEnd w:id="1032"/>
      <w:bookmarkEnd w:id="1033"/>
      <w:bookmarkStart w:id="1056" w:name="_Hlt101846155"/>
      <w:bookmarkEnd w:id="1056"/>
    </w:p>
    <w:p>
      <w:pPr>
        <w:pStyle w:val="30"/>
        <w:numPr>
          <w:ilvl w:val="1"/>
          <w:numId w:val="12"/>
        </w:numPr>
        <w:ind w:firstLine="482"/>
        <w:rPr>
          <w:highlight w:val="none"/>
        </w:rPr>
      </w:pPr>
      <w:bookmarkStart w:id="1057" w:name="_Toc5629"/>
      <w:bookmarkStart w:id="1058" w:name="_Toc4848"/>
      <w:bookmarkStart w:id="1059" w:name="_Toc16563"/>
      <w:bookmarkStart w:id="1060" w:name="_Toc14367"/>
      <w:r>
        <w:rPr>
          <w:rFonts w:hint="eastAsia"/>
          <w:highlight w:val="none"/>
        </w:rPr>
        <w:t>总则</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7"/>
      <w:bookmarkEnd w:id="1058"/>
      <w:bookmarkEnd w:id="1059"/>
      <w:bookmarkEnd w:id="1060"/>
    </w:p>
    <w:p>
      <w:pPr>
        <w:pStyle w:val="41"/>
        <w:numPr>
          <w:ilvl w:val="1"/>
          <w:numId w:val="30"/>
        </w:numPr>
        <w:ind w:firstLine="480"/>
        <w:rPr>
          <w:highlight w:val="none"/>
        </w:rPr>
      </w:pPr>
      <w:r>
        <w:rPr>
          <w:rFonts w:hint="eastAsia"/>
          <w:highlight w:val="none"/>
        </w:rPr>
        <w:t>根据《中华人民共和国政府采购法》、《中华人民共和国政府采购法实施条例》和《政府采购货物和服务招标投标管理办法》(财政部令第87号)等法律规章，结合采购项目特点制定本评标办法。</w:t>
      </w:r>
    </w:p>
    <w:p>
      <w:pPr>
        <w:pStyle w:val="41"/>
        <w:numPr>
          <w:ilvl w:val="1"/>
          <w:numId w:val="30"/>
        </w:numPr>
        <w:ind w:firstLine="480"/>
        <w:rPr>
          <w:highlight w:val="none"/>
        </w:rPr>
      </w:pPr>
      <w:r>
        <w:rPr>
          <w:rFonts w:hint="eastAsia"/>
          <w:highlight w:val="none"/>
        </w:rPr>
        <w:t>评标工作由采购代理机构负责组织，具体评标事务由采购代理机构依法组建的评标委员会负责。评标委员会由采购人代表和有关技术、经济等方面的专家组成。</w:t>
      </w:r>
    </w:p>
    <w:p>
      <w:pPr>
        <w:pStyle w:val="41"/>
        <w:numPr>
          <w:ilvl w:val="1"/>
          <w:numId w:val="30"/>
        </w:numPr>
        <w:ind w:firstLine="480"/>
        <w:rPr>
          <w:highlight w:val="none"/>
        </w:rPr>
      </w:pPr>
      <w:r>
        <w:rPr>
          <w:rFonts w:hint="eastAsia"/>
          <w:highlight w:val="none"/>
        </w:rPr>
        <w:t>评标工作应遵循公平、公正、科学及择优的原则，并以相同的评标程序和标准对待所有的投标人。</w:t>
      </w:r>
    </w:p>
    <w:p>
      <w:pPr>
        <w:pStyle w:val="41"/>
        <w:numPr>
          <w:ilvl w:val="1"/>
          <w:numId w:val="30"/>
        </w:numPr>
        <w:ind w:firstLine="480"/>
        <w:rPr>
          <w:highlight w:val="none"/>
        </w:rPr>
      </w:pPr>
      <w:r>
        <w:rPr>
          <w:rFonts w:hint="eastAsia"/>
          <w:highlight w:val="none"/>
        </w:rPr>
        <w:t>评标委员会按照招标文件规定的评标方法和标准进行评标，并独立履行下列职责：</w:t>
      </w:r>
    </w:p>
    <w:p>
      <w:pPr>
        <w:pStyle w:val="43"/>
        <w:numPr>
          <w:ilvl w:val="2"/>
          <w:numId w:val="31"/>
        </w:numPr>
        <w:ind w:firstLine="480"/>
        <w:rPr>
          <w:highlight w:val="none"/>
        </w:rPr>
      </w:pPr>
      <w:bookmarkStart w:id="1061" w:name="_Toc217446098"/>
      <w:r>
        <w:rPr>
          <w:rFonts w:hint="eastAsia"/>
          <w:highlight w:val="none"/>
        </w:rPr>
        <w:t>审查、评价投标文件是否符合招标文件的商务、技术等实质性要求；</w:t>
      </w:r>
    </w:p>
    <w:p>
      <w:pPr>
        <w:pStyle w:val="43"/>
        <w:numPr>
          <w:ilvl w:val="2"/>
          <w:numId w:val="31"/>
        </w:numPr>
        <w:ind w:firstLine="480"/>
        <w:rPr>
          <w:highlight w:val="none"/>
        </w:rPr>
      </w:pPr>
      <w:r>
        <w:rPr>
          <w:rFonts w:hint="eastAsia"/>
          <w:highlight w:val="none"/>
        </w:rPr>
        <w:t>要求投标人对投标文件有关事项作出澄清或者说明；</w:t>
      </w:r>
    </w:p>
    <w:p>
      <w:pPr>
        <w:pStyle w:val="43"/>
        <w:numPr>
          <w:ilvl w:val="2"/>
          <w:numId w:val="31"/>
        </w:numPr>
        <w:ind w:firstLine="480"/>
        <w:rPr>
          <w:highlight w:val="none"/>
        </w:rPr>
      </w:pPr>
      <w:r>
        <w:rPr>
          <w:rFonts w:hint="eastAsia"/>
          <w:highlight w:val="none"/>
        </w:rPr>
        <w:t>对投标文件进行比较和评价；</w:t>
      </w:r>
    </w:p>
    <w:p>
      <w:pPr>
        <w:pStyle w:val="43"/>
        <w:numPr>
          <w:ilvl w:val="2"/>
          <w:numId w:val="31"/>
        </w:numPr>
        <w:ind w:firstLine="480"/>
        <w:rPr>
          <w:highlight w:val="none"/>
        </w:rPr>
      </w:pPr>
      <w:r>
        <w:rPr>
          <w:rFonts w:hint="eastAsia"/>
          <w:highlight w:val="none"/>
        </w:rPr>
        <w:t>确定中标候选人名单；</w:t>
      </w:r>
    </w:p>
    <w:p>
      <w:pPr>
        <w:pStyle w:val="43"/>
        <w:numPr>
          <w:ilvl w:val="2"/>
          <w:numId w:val="31"/>
        </w:numPr>
        <w:ind w:firstLine="480"/>
        <w:rPr>
          <w:highlight w:val="none"/>
        </w:rPr>
      </w:pPr>
      <w:r>
        <w:rPr>
          <w:rFonts w:hint="eastAsia"/>
          <w:highlight w:val="none"/>
        </w:rPr>
        <w:t>向采购人、采购代理机构或者有关部门报告评标中发现的违法行为。</w:t>
      </w:r>
    </w:p>
    <w:p>
      <w:pPr>
        <w:pStyle w:val="41"/>
        <w:numPr>
          <w:ilvl w:val="1"/>
          <w:numId w:val="31"/>
        </w:numPr>
        <w:ind w:firstLine="480"/>
        <w:rPr>
          <w:highlight w:val="none"/>
        </w:rPr>
      </w:pPr>
      <w:r>
        <w:rPr>
          <w:rFonts w:hint="eastAsia"/>
          <w:highlight w:val="none"/>
        </w:rPr>
        <w:t>评标过程独立、保密。投标人非法干预评标过程的行为将导致其投标文件作为无效处理。</w:t>
      </w:r>
    </w:p>
    <w:p>
      <w:pPr>
        <w:pStyle w:val="41"/>
        <w:numPr>
          <w:ilvl w:val="1"/>
          <w:numId w:val="31"/>
        </w:numPr>
        <w:ind w:firstLine="480"/>
        <w:rPr>
          <w:highlight w:val="none"/>
        </w:rPr>
      </w:pPr>
      <w:r>
        <w:rPr>
          <w:rFonts w:hint="eastAsia"/>
          <w:highlight w:val="none"/>
        </w:rPr>
        <w:t>评标委员会评价投标文件的响应性，对于投标人而言，除评标委员会要求其澄清、说明或者纠正而提供的资料外，仅依据投标文件本身的内容，不寻求其他外部证据。</w:t>
      </w:r>
    </w:p>
    <w:p>
      <w:pPr>
        <w:pStyle w:val="41"/>
        <w:numPr>
          <w:ilvl w:val="1"/>
          <w:numId w:val="31"/>
        </w:numPr>
        <w:ind w:firstLine="480"/>
        <w:rPr>
          <w:highlight w:val="none"/>
        </w:rPr>
      </w:pPr>
      <w:r>
        <w:rPr>
          <w:rFonts w:hint="eastAsia"/>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0"/>
        <w:numPr>
          <w:ilvl w:val="1"/>
          <w:numId w:val="12"/>
        </w:numPr>
        <w:ind w:firstLine="482"/>
        <w:rPr>
          <w:highlight w:val="none"/>
        </w:rPr>
      </w:pPr>
      <w:bookmarkStart w:id="1062" w:name="_Toc5338"/>
      <w:bookmarkStart w:id="1063" w:name="_Toc10398"/>
      <w:bookmarkStart w:id="1064" w:name="_Toc327196340"/>
      <w:bookmarkStart w:id="1065" w:name="_Toc8496"/>
      <w:bookmarkStart w:id="1066" w:name="_Toc3371"/>
      <w:bookmarkStart w:id="1067" w:name="_Toc319440189"/>
      <w:bookmarkStart w:id="1068" w:name="_Toc12975"/>
      <w:bookmarkStart w:id="1069" w:name="_Toc3915"/>
      <w:bookmarkStart w:id="1070" w:name="_Toc23669"/>
      <w:bookmarkStart w:id="1071" w:name="_Toc26792"/>
      <w:bookmarkStart w:id="1072" w:name="_Toc27281"/>
      <w:bookmarkStart w:id="1073" w:name="_Toc25817"/>
      <w:bookmarkStart w:id="1074" w:name="_Toc5152"/>
      <w:bookmarkStart w:id="1075" w:name="_Toc24711"/>
      <w:bookmarkStart w:id="1076" w:name="_Toc14100"/>
      <w:bookmarkStart w:id="1077" w:name="_Toc25612"/>
      <w:r>
        <w:rPr>
          <w:rFonts w:hint="eastAsia"/>
          <w:highlight w:val="none"/>
        </w:rPr>
        <w:t>评标方法</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pStyle w:val="33"/>
        <w:rPr>
          <w:highlight w:val="none"/>
        </w:rPr>
      </w:pPr>
      <w:r>
        <w:rPr>
          <w:rFonts w:hint="eastAsia"/>
          <w:highlight w:val="none"/>
        </w:rPr>
        <w:t>本项目评标方法为：综合评分法。</w:t>
      </w:r>
    </w:p>
    <w:p>
      <w:pPr>
        <w:pStyle w:val="30"/>
        <w:numPr>
          <w:ilvl w:val="1"/>
          <w:numId w:val="12"/>
        </w:numPr>
        <w:ind w:firstLine="482"/>
        <w:rPr>
          <w:highlight w:val="none"/>
        </w:rPr>
      </w:pPr>
      <w:bookmarkStart w:id="1078" w:name="_Toc328"/>
      <w:bookmarkStart w:id="1079" w:name="_Toc27103"/>
      <w:bookmarkStart w:id="1080" w:name="_Toc7390"/>
      <w:bookmarkStart w:id="1081" w:name="_Toc5897"/>
      <w:bookmarkStart w:id="1082" w:name="_Toc23322"/>
      <w:bookmarkStart w:id="1083" w:name="_Toc12883"/>
      <w:bookmarkStart w:id="1084" w:name="_Toc5906"/>
      <w:bookmarkStart w:id="1085" w:name="_Toc319440190"/>
      <w:bookmarkStart w:id="1086" w:name="_Toc31119"/>
      <w:bookmarkStart w:id="1087" w:name="_Toc19196"/>
      <w:bookmarkStart w:id="1088" w:name="_Toc6958"/>
      <w:bookmarkStart w:id="1089" w:name="_Toc9694"/>
      <w:bookmarkStart w:id="1090" w:name="_Toc17374"/>
      <w:bookmarkStart w:id="1091" w:name="_Toc327196341"/>
      <w:bookmarkStart w:id="1092" w:name="_Toc9969"/>
      <w:bookmarkStart w:id="1093" w:name="_Toc17613"/>
      <w:r>
        <w:rPr>
          <w:rFonts w:hint="eastAsia"/>
          <w:highlight w:val="none"/>
        </w:rPr>
        <w:t>评标程序</w:t>
      </w:r>
      <w:bookmarkEnd w:id="1061"/>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pPr>
        <w:pStyle w:val="41"/>
        <w:numPr>
          <w:ilvl w:val="1"/>
          <w:numId w:val="32"/>
        </w:numPr>
        <w:ind w:firstLine="480"/>
        <w:rPr>
          <w:highlight w:val="none"/>
        </w:rPr>
      </w:pPr>
      <w:r>
        <w:rPr>
          <w:rFonts w:hint="eastAsia"/>
          <w:highlight w:val="none"/>
        </w:rPr>
        <w:t>熟悉招标文件和停止评标</w:t>
      </w:r>
    </w:p>
    <w:p>
      <w:pPr>
        <w:pStyle w:val="43"/>
        <w:numPr>
          <w:ilvl w:val="2"/>
          <w:numId w:val="31"/>
        </w:numPr>
        <w:ind w:firstLine="480"/>
        <w:rPr>
          <w:highlight w:val="none"/>
        </w:rPr>
      </w:pPr>
      <w:r>
        <w:rPr>
          <w:rFonts w:hint="eastAsia"/>
          <w:highlight w:val="none"/>
        </w:rPr>
        <w:t>评标委员会正式评标前，应当熟悉招标文件，主要包括招标文件中符合性审查内容、采购项目技术、服务和商务要求、评标方法和标准以及政府采购合同主要条款等。</w:t>
      </w:r>
    </w:p>
    <w:p>
      <w:pPr>
        <w:pStyle w:val="43"/>
        <w:numPr>
          <w:ilvl w:val="2"/>
          <w:numId w:val="31"/>
        </w:numPr>
        <w:ind w:firstLine="480"/>
        <w:rPr>
          <w:highlight w:val="none"/>
        </w:rPr>
      </w:pPr>
      <w:r>
        <w:rPr>
          <w:rFonts w:hint="eastAsia"/>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3"/>
        <w:numPr>
          <w:ilvl w:val="2"/>
          <w:numId w:val="31"/>
        </w:numPr>
        <w:ind w:firstLine="480"/>
        <w:rPr>
          <w:highlight w:val="none"/>
        </w:rPr>
      </w:pPr>
      <w:r>
        <w:rPr>
          <w:rFonts w:hint="eastAsia"/>
          <w:highlight w:val="none"/>
        </w:rPr>
        <w:t>评标过程中有下列情形之一的，评标委员会成员可以停止评标：</w:t>
      </w:r>
    </w:p>
    <w:p>
      <w:pPr>
        <w:pStyle w:val="44"/>
        <w:numPr>
          <w:ilvl w:val="3"/>
          <w:numId w:val="31"/>
        </w:numPr>
        <w:ind w:firstLine="480"/>
        <w:rPr>
          <w:highlight w:val="none"/>
        </w:rPr>
      </w:pPr>
      <w:r>
        <w:rPr>
          <w:rFonts w:hint="eastAsia"/>
          <w:highlight w:val="none"/>
        </w:rPr>
        <w:t>招标采购单位未提供必要的与采购项目有关的政策制度文件或者招标文件，继续评标将导致违法或者错误评标的；</w:t>
      </w:r>
    </w:p>
    <w:p>
      <w:pPr>
        <w:pStyle w:val="44"/>
        <w:numPr>
          <w:ilvl w:val="3"/>
          <w:numId w:val="31"/>
        </w:numPr>
        <w:ind w:firstLine="480"/>
        <w:rPr>
          <w:highlight w:val="none"/>
        </w:rPr>
      </w:pPr>
      <w:r>
        <w:rPr>
          <w:rFonts w:hint="eastAsia"/>
          <w:highlight w:val="none"/>
        </w:rPr>
        <w:t>有关单位和个人非法干预评标委员会依法独立评标的；</w:t>
      </w:r>
    </w:p>
    <w:p>
      <w:pPr>
        <w:pStyle w:val="44"/>
        <w:numPr>
          <w:ilvl w:val="3"/>
          <w:numId w:val="31"/>
        </w:numPr>
        <w:ind w:firstLine="480"/>
        <w:rPr>
          <w:highlight w:val="none"/>
        </w:rPr>
      </w:pPr>
      <w:r>
        <w:rPr>
          <w:rFonts w:hint="eastAsia"/>
          <w:highlight w:val="none"/>
        </w:rPr>
        <w:t>其他导致评标委员会无法正常履职的情形。</w:t>
      </w:r>
    </w:p>
    <w:p>
      <w:pPr>
        <w:pStyle w:val="43"/>
        <w:numPr>
          <w:ilvl w:val="2"/>
          <w:numId w:val="31"/>
        </w:numPr>
        <w:ind w:firstLine="480"/>
        <w:rPr>
          <w:highlight w:val="none"/>
        </w:rPr>
      </w:pPr>
      <w:r>
        <w:rPr>
          <w:rFonts w:hint="eastAsia"/>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41"/>
        <w:numPr>
          <w:ilvl w:val="1"/>
          <w:numId w:val="31"/>
        </w:numPr>
        <w:ind w:firstLine="480"/>
        <w:rPr>
          <w:highlight w:val="none"/>
        </w:rPr>
      </w:pPr>
      <w:r>
        <w:rPr>
          <w:rFonts w:hint="eastAsia"/>
          <w:highlight w:val="none"/>
        </w:rPr>
        <w:t>符合性审查</w:t>
      </w:r>
    </w:p>
    <w:p>
      <w:pPr>
        <w:pStyle w:val="33"/>
        <w:rPr>
          <w:highlight w:val="none"/>
        </w:rPr>
      </w:pPr>
      <w:r>
        <w:rPr>
          <w:rFonts w:hint="eastAsia"/>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3"/>
        <w:numPr>
          <w:ilvl w:val="2"/>
          <w:numId w:val="31"/>
        </w:numPr>
        <w:ind w:firstLine="480"/>
        <w:rPr>
          <w:highlight w:val="none"/>
        </w:rPr>
      </w:pPr>
      <w:r>
        <w:rPr>
          <w:rFonts w:hint="eastAsia"/>
          <w:highlight w:val="none"/>
        </w:rPr>
        <w:t>除政府采购法律制度规定的情形外，本项目投标人或者其投标文件有下列情形之一的，作为无效投标处理：</w:t>
      </w:r>
    </w:p>
    <w:p>
      <w:pPr>
        <w:pStyle w:val="44"/>
        <w:numPr>
          <w:ilvl w:val="3"/>
          <w:numId w:val="31"/>
        </w:numPr>
        <w:ind w:firstLine="480"/>
        <w:rPr>
          <w:highlight w:val="none"/>
        </w:rPr>
      </w:pPr>
      <w:r>
        <w:rPr>
          <w:rFonts w:hint="eastAsia"/>
          <w:highlight w:val="none"/>
        </w:rPr>
        <w:t>未按照招标文件的规定和要求编制投标文件的；</w:t>
      </w:r>
    </w:p>
    <w:p>
      <w:pPr>
        <w:pStyle w:val="44"/>
        <w:numPr>
          <w:ilvl w:val="3"/>
          <w:numId w:val="31"/>
        </w:numPr>
        <w:ind w:firstLine="480"/>
        <w:rPr>
          <w:highlight w:val="none"/>
        </w:rPr>
      </w:pPr>
      <w:r>
        <w:rPr>
          <w:rFonts w:hint="eastAsia"/>
          <w:highlight w:val="none"/>
        </w:rPr>
        <w:t>投标文件组成明显不符合招标文件的规定要求，影响评标委员会评判的；</w:t>
      </w:r>
    </w:p>
    <w:p>
      <w:pPr>
        <w:pStyle w:val="44"/>
        <w:numPr>
          <w:ilvl w:val="3"/>
          <w:numId w:val="31"/>
        </w:numPr>
        <w:ind w:firstLine="480"/>
        <w:rPr>
          <w:highlight w:val="none"/>
        </w:rPr>
      </w:pPr>
      <w:r>
        <w:rPr>
          <w:rFonts w:hint="eastAsia"/>
          <w:highlight w:val="none"/>
        </w:rPr>
        <w:t>投标文件的格式、语言、计量单位、报价货币、知识产权、投标有效期等不符合招标文件的规定，影响评标委员会评判的；</w:t>
      </w:r>
    </w:p>
    <w:p>
      <w:pPr>
        <w:pStyle w:val="44"/>
        <w:numPr>
          <w:ilvl w:val="3"/>
          <w:numId w:val="31"/>
        </w:numPr>
        <w:ind w:firstLine="480"/>
        <w:rPr>
          <w:highlight w:val="none"/>
        </w:rPr>
      </w:pPr>
      <w:r>
        <w:rPr>
          <w:rFonts w:hint="eastAsia"/>
          <w:highlight w:val="none"/>
        </w:rPr>
        <w:t>投标报价不符合招标文件规定的价格标底和其他报价规定的；</w:t>
      </w:r>
    </w:p>
    <w:p>
      <w:pPr>
        <w:pStyle w:val="44"/>
        <w:numPr>
          <w:ilvl w:val="3"/>
          <w:numId w:val="31"/>
        </w:numPr>
        <w:ind w:firstLine="480"/>
        <w:rPr>
          <w:highlight w:val="none"/>
        </w:rPr>
      </w:pPr>
      <w:r>
        <w:rPr>
          <w:rFonts w:hint="eastAsia"/>
          <w:highlight w:val="none"/>
        </w:rPr>
        <w:t>技术、服务应答内容没有完全响应招标文件的实质性要求的；</w:t>
      </w:r>
    </w:p>
    <w:p>
      <w:pPr>
        <w:pStyle w:val="44"/>
        <w:numPr>
          <w:ilvl w:val="3"/>
          <w:numId w:val="31"/>
        </w:numPr>
        <w:ind w:firstLine="480"/>
        <w:rPr>
          <w:highlight w:val="none"/>
        </w:rPr>
      </w:pPr>
      <w:r>
        <w:rPr>
          <w:rFonts w:hint="eastAsia"/>
          <w:highlight w:val="none"/>
        </w:rPr>
        <w:t>招标文件有明确要求，但投标文件未载明或者载明的采购项目服务期限、方式、数量与招标文件要求不一致的；</w:t>
      </w:r>
    </w:p>
    <w:p>
      <w:pPr>
        <w:pStyle w:val="44"/>
        <w:numPr>
          <w:ilvl w:val="3"/>
          <w:numId w:val="31"/>
        </w:numPr>
        <w:ind w:firstLine="480"/>
        <w:rPr>
          <w:highlight w:val="none"/>
        </w:rPr>
      </w:pPr>
      <w:r>
        <w:rPr>
          <w:rFonts w:hint="eastAsia"/>
          <w:highlight w:val="none"/>
        </w:rPr>
        <w:t>投标文件含有采购人不能接受的附加条件的。</w:t>
      </w:r>
    </w:p>
    <w:p>
      <w:pPr>
        <w:tabs>
          <w:tab w:val="left" w:pos="851"/>
          <w:tab w:val="clear" w:pos="0"/>
        </w:tabs>
        <w:ind w:firstLine="480" w:firstLineChars="200"/>
        <w:rPr>
          <w:highlight w:val="none"/>
        </w:rPr>
      </w:pPr>
      <w:r>
        <w:rPr>
          <w:rFonts w:hint="eastAsia"/>
          <w:highlight w:val="none"/>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rPr>
          <w:highlight w:val="none"/>
        </w:rPr>
      </w:pPr>
      <w:r>
        <w:rPr>
          <w:rFonts w:hint="eastAsia"/>
          <w:highlight w:val="none"/>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rPr>
          <w:highlight w:val="none"/>
        </w:rPr>
      </w:pPr>
      <w:r>
        <w:rPr>
          <w:rFonts w:hint="eastAsia"/>
          <w:highlight w:val="none"/>
        </w:rPr>
        <w:t>③通过符合性审查的投标人＜3家，本项目采购失败。</w:t>
      </w:r>
    </w:p>
    <w:p>
      <w:pPr>
        <w:pStyle w:val="41"/>
        <w:numPr>
          <w:ilvl w:val="1"/>
          <w:numId w:val="31"/>
        </w:numPr>
        <w:ind w:firstLine="480"/>
        <w:rPr>
          <w:highlight w:val="none"/>
        </w:rPr>
      </w:pPr>
      <w:r>
        <w:rPr>
          <w:rFonts w:hint="eastAsia"/>
          <w:highlight w:val="none"/>
        </w:rPr>
        <w:t>比较与评价</w:t>
      </w:r>
    </w:p>
    <w:p>
      <w:pPr>
        <w:pStyle w:val="33"/>
        <w:rPr>
          <w:highlight w:val="none"/>
        </w:rPr>
      </w:pPr>
      <w:r>
        <w:rPr>
          <w:rFonts w:hint="eastAsia"/>
          <w:highlight w:val="none"/>
        </w:rPr>
        <w:t>评标委员会应当按照招标文件中规定的评标方法和标准，对符合性审查合格的投标文件进行商务和技术评估，综合比较与评价。</w:t>
      </w:r>
    </w:p>
    <w:p>
      <w:pPr>
        <w:pStyle w:val="41"/>
        <w:numPr>
          <w:ilvl w:val="1"/>
          <w:numId w:val="31"/>
        </w:numPr>
        <w:ind w:firstLine="480"/>
        <w:rPr>
          <w:highlight w:val="none"/>
        </w:rPr>
      </w:pPr>
      <w:r>
        <w:rPr>
          <w:rFonts w:hint="eastAsia"/>
          <w:highlight w:val="none"/>
        </w:rPr>
        <w:t>评标争议处理规则</w:t>
      </w:r>
    </w:p>
    <w:p>
      <w:pPr>
        <w:pStyle w:val="33"/>
        <w:rPr>
          <w:highlight w:val="none"/>
        </w:rPr>
      </w:pPr>
      <w:r>
        <w:rPr>
          <w:rFonts w:hint="eastAsia"/>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41"/>
        <w:numPr>
          <w:ilvl w:val="1"/>
          <w:numId w:val="31"/>
        </w:numPr>
        <w:ind w:firstLine="480"/>
        <w:rPr>
          <w:highlight w:val="none"/>
        </w:rPr>
      </w:pPr>
      <w:r>
        <w:rPr>
          <w:rFonts w:hint="eastAsia"/>
          <w:highlight w:val="none"/>
        </w:rPr>
        <w:t>澄清、说明或者纠正</w:t>
      </w:r>
    </w:p>
    <w:p>
      <w:pPr>
        <w:pStyle w:val="43"/>
        <w:numPr>
          <w:ilvl w:val="2"/>
          <w:numId w:val="31"/>
        </w:numPr>
        <w:ind w:firstLine="480"/>
        <w:rPr>
          <w:highlight w:val="none"/>
        </w:rPr>
      </w:pPr>
      <w:r>
        <w:rPr>
          <w:rFonts w:hint="eastAsia"/>
          <w:highlight w:val="none"/>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43"/>
        <w:numPr>
          <w:ilvl w:val="2"/>
          <w:numId w:val="31"/>
        </w:numPr>
        <w:ind w:firstLine="480"/>
        <w:rPr>
          <w:highlight w:val="none"/>
        </w:rPr>
      </w:pPr>
      <w:r>
        <w:rPr>
          <w:rFonts w:hint="eastAsia"/>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3"/>
        <w:numPr>
          <w:ilvl w:val="2"/>
          <w:numId w:val="31"/>
        </w:numPr>
        <w:ind w:firstLine="480"/>
        <w:rPr>
          <w:highlight w:val="none"/>
        </w:rPr>
      </w:pPr>
      <w:r>
        <w:rPr>
          <w:rFonts w:hint="eastAsia"/>
          <w:highlight w:val="none"/>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3"/>
        <w:numPr>
          <w:ilvl w:val="2"/>
          <w:numId w:val="31"/>
        </w:numPr>
        <w:ind w:firstLine="480"/>
        <w:rPr>
          <w:highlight w:val="none"/>
        </w:rPr>
      </w:pPr>
      <w:r>
        <w:rPr>
          <w:rFonts w:hint="eastAsia"/>
          <w:highlight w:val="none"/>
        </w:rPr>
        <w:t>评标委员会要求供应商澄清、说明或者更正，不得超出招标文件的范围，不得以此让供应商实质改变投标文件的内容，不得影响供应商公平竞争。本项目下列内容不得澄清：</w:t>
      </w:r>
    </w:p>
    <w:p>
      <w:pPr>
        <w:pStyle w:val="44"/>
        <w:numPr>
          <w:ilvl w:val="3"/>
          <w:numId w:val="31"/>
        </w:numPr>
        <w:ind w:firstLine="480"/>
        <w:rPr>
          <w:highlight w:val="none"/>
        </w:rPr>
      </w:pPr>
      <w:r>
        <w:rPr>
          <w:rFonts w:hint="eastAsia"/>
          <w:highlight w:val="none"/>
        </w:rPr>
        <w:t>按财政部规定应当在评标时不予承认的投标文件内容事项；</w:t>
      </w:r>
    </w:p>
    <w:p>
      <w:pPr>
        <w:pStyle w:val="44"/>
        <w:numPr>
          <w:ilvl w:val="3"/>
          <w:numId w:val="31"/>
        </w:numPr>
        <w:ind w:firstLine="480"/>
        <w:rPr>
          <w:highlight w:val="none"/>
        </w:rPr>
      </w:pPr>
      <w:r>
        <w:rPr>
          <w:rFonts w:hint="eastAsia"/>
          <w:highlight w:val="none"/>
        </w:rPr>
        <w:t>投标文件中已经明确的内容事项；</w:t>
      </w:r>
    </w:p>
    <w:p>
      <w:pPr>
        <w:pStyle w:val="44"/>
        <w:numPr>
          <w:ilvl w:val="3"/>
          <w:numId w:val="31"/>
        </w:numPr>
        <w:ind w:firstLine="480"/>
        <w:rPr>
          <w:highlight w:val="none"/>
        </w:rPr>
      </w:pPr>
      <w:r>
        <w:rPr>
          <w:rFonts w:hint="eastAsia"/>
          <w:highlight w:val="none"/>
        </w:rPr>
        <w:t>投标文件未提供的材料。</w:t>
      </w:r>
    </w:p>
    <w:p>
      <w:pPr>
        <w:pStyle w:val="43"/>
        <w:numPr>
          <w:ilvl w:val="2"/>
          <w:numId w:val="31"/>
        </w:numPr>
        <w:ind w:firstLine="480"/>
        <w:rPr>
          <w:highlight w:val="none"/>
        </w:rPr>
      </w:pPr>
      <w:r>
        <w:rPr>
          <w:rFonts w:hint="eastAsia"/>
          <w:highlight w:val="none"/>
        </w:rPr>
        <w:t>本项目采购过程中，投标文件出现下列情况的，不需要供应商澄清、说明或者纠正，按照以下原则处理：</w:t>
      </w:r>
    </w:p>
    <w:p>
      <w:pPr>
        <w:pStyle w:val="44"/>
        <w:numPr>
          <w:ilvl w:val="3"/>
          <w:numId w:val="31"/>
        </w:numPr>
        <w:ind w:firstLine="480"/>
        <w:rPr>
          <w:highlight w:val="none"/>
        </w:rPr>
      </w:pPr>
      <w:r>
        <w:rPr>
          <w:rFonts w:hint="eastAsia"/>
          <w:highlight w:val="none"/>
        </w:rPr>
        <w:t>投标文件的大写金额和小写金额不一致的，以大写金额为准，但大写金额出现文字错误，导致金额无法判断的除外；</w:t>
      </w:r>
    </w:p>
    <w:p>
      <w:pPr>
        <w:pStyle w:val="44"/>
        <w:numPr>
          <w:ilvl w:val="3"/>
          <w:numId w:val="31"/>
        </w:numPr>
        <w:ind w:firstLine="480"/>
        <w:rPr>
          <w:highlight w:val="none"/>
        </w:rPr>
      </w:pPr>
      <w:r>
        <w:rPr>
          <w:rFonts w:hint="eastAsia"/>
          <w:highlight w:val="none"/>
        </w:rPr>
        <w:t>总价金额与按单价汇总金额不一致的，以单价汇总金额计算结果为准，但是单价金额出现计算错误、明显人为工作失误的除外；</w:t>
      </w:r>
    </w:p>
    <w:p>
      <w:pPr>
        <w:pStyle w:val="44"/>
        <w:numPr>
          <w:ilvl w:val="3"/>
          <w:numId w:val="31"/>
        </w:numPr>
        <w:ind w:firstLine="480"/>
        <w:rPr>
          <w:highlight w:val="none"/>
        </w:rPr>
      </w:pPr>
      <w:r>
        <w:rPr>
          <w:rFonts w:hint="eastAsia"/>
          <w:highlight w:val="none"/>
        </w:rPr>
        <w:t>单价金额小数点有明显错位的，应以总价为准，并修改单价；</w:t>
      </w:r>
    </w:p>
    <w:p>
      <w:pPr>
        <w:pStyle w:val="44"/>
        <w:numPr>
          <w:ilvl w:val="3"/>
          <w:numId w:val="31"/>
        </w:numPr>
        <w:ind w:firstLine="480"/>
        <w:rPr>
          <w:highlight w:val="none"/>
        </w:rPr>
      </w:pPr>
      <w:r>
        <w:rPr>
          <w:rFonts w:hint="eastAsia"/>
          <w:highlight w:val="none"/>
        </w:rPr>
        <w:t>对不同语言文本投标文件的解释发生异议的，以中文文本为准。</w:t>
      </w:r>
    </w:p>
    <w:p>
      <w:pPr>
        <w:pStyle w:val="33"/>
        <w:rPr>
          <w:highlight w:val="none"/>
        </w:rPr>
      </w:pPr>
      <w:r>
        <w:rPr>
          <w:rFonts w:hint="eastAsia"/>
          <w:highlight w:val="none"/>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3"/>
        <w:rPr>
          <w:highlight w:val="none"/>
        </w:rPr>
      </w:pPr>
      <w:r>
        <w:rPr>
          <w:rFonts w:hint="eastAsia"/>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3"/>
        <w:ind w:firstLine="482"/>
        <w:rPr>
          <w:highlight w:val="none"/>
        </w:rPr>
      </w:pPr>
      <w:r>
        <w:rPr>
          <w:rFonts w:hint="eastAsia"/>
          <w:highlight w:val="none"/>
        </w:rPr>
        <w:t>注：评标委员会成员应当积极履行澄清、说明或者纠正的职责，不得将应当澄清、说明或者纠正的投标文件作无效投标处理。</w:t>
      </w:r>
    </w:p>
    <w:p>
      <w:pPr>
        <w:pStyle w:val="41"/>
        <w:numPr>
          <w:ilvl w:val="1"/>
          <w:numId w:val="31"/>
        </w:numPr>
        <w:ind w:firstLine="480"/>
        <w:rPr>
          <w:highlight w:val="none"/>
        </w:rPr>
      </w:pPr>
      <w:r>
        <w:rPr>
          <w:rFonts w:hint="eastAsia"/>
          <w:highlight w:val="none"/>
        </w:rPr>
        <w:t>投标文件报价出现前后不一致的，除招标文件另有规定外，按照下列规定修正：</w:t>
      </w:r>
    </w:p>
    <w:p>
      <w:pPr>
        <w:pStyle w:val="43"/>
        <w:numPr>
          <w:ilvl w:val="2"/>
          <w:numId w:val="31"/>
        </w:numPr>
        <w:ind w:firstLine="480"/>
        <w:rPr>
          <w:highlight w:val="none"/>
        </w:rPr>
      </w:pPr>
      <w:r>
        <w:rPr>
          <w:rFonts w:hint="eastAsia"/>
          <w:highlight w:val="none"/>
        </w:rPr>
        <w:t>投标文件中开标一览表(报价表)内容与投标文件中相应内容不一致的，以开标唱标时单独提交的开标一览表(报价表)为准；</w:t>
      </w:r>
    </w:p>
    <w:p>
      <w:pPr>
        <w:pStyle w:val="43"/>
        <w:numPr>
          <w:ilvl w:val="2"/>
          <w:numId w:val="31"/>
        </w:numPr>
        <w:ind w:firstLine="480"/>
        <w:rPr>
          <w:highlight w:val="none"/>
        </w:rPr>
      </w:pPr>
      <w:r>
        <w:rPr>
          <w:rFonts w:hint="eastAsia"/>
          <w:highlight w:val="none"/>
        </w:rPr>
        <w:t>大写金额和小写金额不一致的，以大写金额为准；</w:t>
      </w:r>
    </w:p>
    <w:p>
      <w:pPr>
        <w:pStyle w:val="43"/>
        <w:numPr>
          <w:ilvl w:val="2"/>
          <w:numId w:val="31"/>
        </w:numPr>
        <w:ind w:firstLine="480"/>
        <w:rPr>
          <w:highlight w:val="none"/>
        </w:rPr>
      </w:pPr>
      <w:r>
        <w:rPr>
          <w:rFonts w:hint="eastAsia"/>
          <w:highlight w:val="none"/>
        </w:rPr>
        <w:t>单价金额小数点或者百分比有明显错位的，以开标一览表的总价为准，并修改单价；</w:t>
      </w:r>
    </w:p>
    <w:p>
      <w:pPr>
        <w:pStyle w:val="43"/>
        <w:numPr>
          <w:ilvl w:val="2"/>
          <w:numId w:val="31"/>
        </w:numPr>
        <w:ind w:firstLine="480"/>
        <w:rPr>
          <w:highlight w:val="none"/>
        </w:rPr>
      </w:pPr>
      <w:r>
        <w:rPr>
          <w:rFonts w:hint="eastAsia"/>
          <w:highlight w:val="none"/>
        </w:rPr>
        <w:t>总价金额与按单价汇总金额不一致的，以单价金额计算结果为准。</w:t>
      </w:r>
    </w:p>
    <w:p>
      <w:pPr>
        <w:pStyle w:val="53"/>
        <w:ind w:firstLine="482"/>
        <w:rPr>
          <w:highlight w:val="none"/>
        </w:rPr>
      </w:pPr>
      <w:r>
        <w:rPr>
          <w:rFonts w:hint="eastAsia"/>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41"/>
        <w:numPr>
          <w:ilvl w:val="1"/>
          <w:numId w:val="31"/>
        </w:numPr>
        <w:ind w:firstLine="480"/>
        <w:rPr>
          <w:highlight w:val="none"/>
        </w:rPr>
      </w:pPr>
      <w:r>
        <w:rPr>
          <w:rFonts w:hint="eastAsia"/>
          <w:highlight w:val="none"/>
        </w:rPr>
        <w:t>低于成本价投标处理</w:t>
      </w:r>
    </w:p>
    <w:p>
      <w:pPr>
        <w:pStyle w:val="43"/>
        <w:numPr>
          <w:ilvl w:val="2"/>
          <w:numId w:val="0"/>
        </w:numPr>
        <w:ind w:firstLine="480" w:firstLineChars="200"/>
        <w:rPr>
          <w:highlight w:val="none"/>
        </w:rPr>
      </w:pPr>
      <w:r>
        <w:rPr>
          <w:rFonts w:hint="eastAsia"/>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numPr>
          <w:ilvl w:val="2"/>
          <w:numId w:val="0"/>
        </w:numPr>
        <w:ind w:firstLine="480" w:firstLineChars="200"/>
        <w:rPr>
          <w:highlight w:val="none"/>
        </w:rPr>
      </w:pPr>
      <w:r>
        <w:rPr>
          <w:rFonts w:hint="eastAsia"/>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0"/>
        <w:numPr>
          <w:ilvl w:val="1"/>
          <w:numId w:val="12"/>
        </w:numPr>
        <w:ind w:firstLine="482"/>
        <w:rPr>
          <w:highlight w:val="none"/>
        </w:rPr>
      </w:pPr>
      <w:bookmarkStart w:id="1094" w:name="_Toc307501155"/>
      <w:bookmarkStart w:id="1095" w:name="_Toc2106"/>
      <w:bookmarkStart w:id="1096" w:name="_Toc21397"/>
      <w:bookmarkStart w:id="1097" w:name="_Toc26213"/>
      <w:bookmarkStart w:id="1098" w:name="_Toc309897564"/>
      <w:bookmarkStart w:id="1099" w:name="_Toc25587"/>
      <w:bookmarkStart w:id="1100" w:name="_Toc3004"/>
      <w:bookmarkStart w:id="1101" w:name="_Toc217446103"/>
      <w:bookmarkStart w:id="1102" w:name="_Toc23187"/>
      <w:bookmarkStart w:id="1103" w:name="_Toc307564897"/>
      <w:bookmarkStart w:id="1104" w:name="_Toc27402"/>
      <w:bookmarkStart w:id="1105" w:name="_Toc9206"/>
      <w:bookmarkStart w:id="1106" w:name="_Toc308084646"/>
      <w:bookmarkStart w:id="1107" w:name="_Toc327196342"/>
      <w:bookmarkStart w:id="1108" w:name="_Toc30417"/>
      <w:bookmarkStart w:id="1109" w:name="_Toc24902"/>
      <w:bookmarkStart w:id="1110" w:name="_Toc22389"/>
      <w:bookmarkStart w:id="1111" w:name="_Toc319439947"/>
      <w:bookmarkStart w:id="1112" w:name="_Toc319440191"/>
      <w:bookmarkStart w:id="1113" w:name="_Toc9107"/>
      <w:bookmarkStart w:id="1114" w:name="_Toc1756"/>
      <w:bookmarkStart w:id="1115" w:name="_Toc23140"/>
      <w:bookmarkStart w:id="1116" w:name="_Toc308188199"/>
      <w:r>
        <w:rPr>
          <w:rFonts w:hint="eastAsia"/>
          <w:highlight w:val="none"/>
        </w:rPr>
        <w:t>评标细则及标准</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pPr>
        <w:pStyle w:val="41"/>
        <w:numPr>
          <w:ilvl w:val="1"/>
          <w:numId w:val="33"/>
        </w:numPr>
        <w:ind w:firstLine="480"/>
        <w:rPr>
          <w:highlight w:val="none"/>
        </w:rPr>
      </w:pPr>
      <w:r>
        <w:rPr>
          <w:rFonts w:hint="eastAsia"/>
          <w:highlight w:val="none"/>
        </w:rPr>
        <w:t>评委会只对通过符合性检查的投标文件，根据招标文件的要求采用相同的评标程序、评分办法及标准进行评价和比较。</w:t>
      </w:r>
    </w:p>
    <w:p>
      <w:pPr>
        <w:pStyle w:val="41"/>
        <w:numPr>
          <w:ilvl w:val="1"/>
          <w:numId w:val="33"/>
        </w:numPr>
        <w:ind w:firstLine="480"/>
        <w:rPr>
          <w:highlight w:val="none"/>
        </w:rPr>
      </w:pPr>
      <w:r>
        <w:rPr>
          <w:rFonts w:hint="eastAsia"/>
          <w:highlight w:val="none"/>
        </w:rPr>
        <w:t>本次综合评分的因素是：详见“综合评分明细表中的评分因素及权重”。</w:t>
      </w:r>
    </w:p>
    <w:p>
      <w:pPr>
        <w:pStyle w:val="41"/>
        <w:numPr>
          <w:ilvl w:val="1"/>
          <w:numId w:val="33"/>
        </w:numPr>
        <w:ind w:firstLine="480"/>
        <w:rPr>
          <w:highlight w:val="none"/>
        </w:rPr>
      </w:pPr>
      <w:r>
        <w:rPr>
          <w:rFonts w:hint="eastAsia"/>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41"/>
        <w:numPr>
          <w:ilvl w:val="1"/>
          <w:numId w:val="33"/>
        </w:numPr>
        <w:ind w:firstLine="480"/>
        <w:rPr>
          <w:highlight w:val="none"/>
        </w:rPr>
      </w:pPr>
      <w:r>
        <w:rPr>
          <w:rFonts w:hint="eastAsia"/>
          <w:highlight w:val="none"/>
        </w:rPr>
        <w:t>评审得分计算方法</w:t>
      </w:r>
    </w:p>
    <w:p>
      <w:pPr>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评审得分＝(A1＋A2＋……＋An)/NA＋(B1＋B2＋……＋Bn)/ NB＋(C1＋C2＋……＋Cn)/ NC＋(D1＋D2＋……＋Dn)/ND</w:t>
      </w:r>
    </w:p>
    <w:p>
      <w:pPr>
        <w:ind w:firstLine="480" w:firstLineChars="200"/>
        <w:rPr>
          <w:highlight w:val="none"/>
        </w:rPr>
      </w:pPr>
      <w:r>
        <w:rPr>
          <w:rFonts w:hint="eastAsia" w:asciiTheme="minorEastAsia" w:hAnsiTheme="minorEastAsia" w:eastAsiaTheme="minorEastAsia" w:cstheme="minorEastAsia"/>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41"/>
        <w:numPr>
          <w:ilvl w:val="1"/>
          <w:numId w:val="31"/>
        </w:numPr>
        <w:ind w:firstLine="480"/>
        <w:rPr>
          <w:highlight w:val="none"/>
        </w:rPr>
      </w:pPr>
      <w:r>
        <w:rPr>
          <w:rFonts w:hint="eastAsia"/>
          <w:highlight w:val="none"/>
        </w:rPr>
        <w:t>综合评分明细表</w:t>
      </w:r>
    </w:p>
    <w:p>
      <w:pPr>
        <w:pStyle w:val="43"/>
        <w:numPr>
          <w:ilvl w:val="2"/>
          <w:numId w:val="31"/>
        </w:numPr>
        <w:ind w:firstLine="480"/>
        <w:rPr>
          <w:highlight w:val="none"/>
        </w:rPr>
      </w:pPr>
      <w:r>
        <w:rPr>
          <w:rFonts w:hint="eastAsia"/>
          <w:highlight w:val="none"/>
        </w:rPr>
        <w:t>综合评分明细表的制定以科学合理、降低评委会自由裁量权为原则。</w:t>
      </w:r>
    </w:p>
    <w:p>
      <w:pPr>
        <w:pStyle w:val="43"/>
        <w:numPr>
          <w:ilvl w:val="2"/>
          <w:numId w:val="31"/>
        </w:numPr>
        <w:ind w:firstLine="480"/>
        <w:rPr>
          <w:highlight w:val="none"/>
        </w:rPr>
      </w:pPr>
      <w:r>
        <w:rPr>
          <w:rFonts w:hint="eastAsia"/>
          <w:highlight w:val="none"/>
        </w:rPr>
        <w:t>综合评分明细表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67"/>
        <w:gridCol w:w="749"/>
        <w:gridCol w:w="6248"/>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blHeader/>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bookmarkStart w:id="1117" w:name="_Toc9572"/>
            <w:bookmarkStart w:id="1118" w:name="_Toc13245"/>
            <w:bookmarkStart w:id="1119" w:name="_Toc21363"/>
            <w:bookmarkStart w:id="1120" w:name="_Toc21671"/>
            <w:bookmarkStart w:id="1121" w:name="_Toc13513"/>
            <w:bookmarkStart w:id="1122" w:name="_Toc4648"/>
            <w:r>
              <w:rPr>
                <w:rFonts w:hint="eastAsia" w:cs="宋体"/>
                <w:b/>
                <w:bCs/>
                <w:sz w:val="21"/>
                <w:szCs w:val="21"/>
                <w:highlight w:val="none"/>
              </w:rPr>
              <w:t>序号</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评分因素</w:t>
            </w:r>
          </w:p>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及权重</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分值</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评分标准</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b/>
                <w:bCs/>
                <w:sz w:val="21"/>
                <w:szCs w:val="21"/>
                <w:highlight w:val="none"/>
              </w:rPr>
            </w:pPr>
            <w:r>
              <w:rPr>
                <w:rFonts w:hint="eastAsia" w:cs="宋体"/>
                <w:b/>
                <w:bCs/>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一</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报价30%</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30分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通过资格性审查和符合性审查的投标人，且投标价格最低的投标报价为评标基准价，其价格分为满分。其他投标人的价格分统一按照下列公式计算：</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投标报价得分=(评标基准价／投标报价)×30×100%。</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注：1.小微企业(残疾人福利性单位、监狱企业视同小微企业)价格扣除按照本招标文件投标人须知前附表规定执行。</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2.评标过程中，不得去掉报价中的最高报价和最低报价。</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3.因落实政府采购政策进行价格调整的，以调整后的价格计算评标基准价和投标报价。</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二</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技术指标及配置53%</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53分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1.投标人投标产品的技术参数完全满足招标文件加▲号</w:t>
            </w:r>
            <w:r>
              <w:rPr>
                <w:rFonts w:hint="eastAsia" w:cs="宋体"/>
                <w:sz w:val="21"/>
                <w:szCs w:val="21"/>
                <w:highlight w:val="none"/>
                <w:lang w:eastAsia="zh-CN"/>
              </w:rPr>
              <w:t>(</w:t>
            </w:r>
            <w:r>
              <w:rPr>
                <w:rFonts w:hint="eastAsia" w:cs="宋体"/>
                <w:sz w:val="21"/>
                <w:szCs w:val="21"/>
                <w:highlight w:val="none"/>
              </w:rPr>
              <w:t>8个</w:t>
            </w:r>
            <w:r>
              <w:rPr>
                <w:rFonts w:hint="eastAsia" w:cs="宋体"/>
                <w:sz w:val="21"/>
                <w:szCs w:val="21"/>
                <w:highlight w:val="none"/>
                <w:lang w:eastAsia="zh-CN"/>
              </w:rPr>
              <w:t>)</w:t>
            </w:r>
            <w:r>
              <w:rPr>
                <w:rFonts w:hint="eastAsia" w:cs="宋体"/>
                <w:sz w:val="21"/>
                <w:szCs w:val="21"/>
                <w:highlight w:val="none"/>
              </w:rPr>
              <w:t>的技术参数及配置要求的得28分；在此基础上，每有一项不满足加▲号的技术参数及要求的扣3.5分，28分扣完为止。</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2.投标人投标产品的技术参数完全满足招标文件未加▲和★号的</w:t>
            </w:r>
            <w:r>
              <w:rPr>
                <w:rFonts w:hint="eastAsia" w:cs="宋体"/>
                <w:sz w:val="21"/>
                <w:szCs w:val="21"/>
                <w:highlight w:val="none"/>
                <w:lang w:eastAsia="zh-CN"/>
              </w:rPr>
              <w:t>(</w:t>
            </w:r>
            <w:r>
              <w:rPr>
                <w:rFonts w:hint="eastAsia" w:cs="宋体"/>
                <w:sz w:val="21"/>
                <w:szCs w:val="21"/>
                <w:highlight w:val="none"/>
              </w:rPr>
              <w:t>50个</w:t>
            </w:r>
            <w:r>
              <w:rPr>
                <w:rFonts w:hint="eastAsia" w:cs="宋体"/>
                <w:sz w:val="21"/>
                <w:szCs w:val="21"/>
                <w:highlight w:val="none"/>
                <w:lang w:eastAsia="zh-CN"/>
              </w:rPr>
              <w:t>)</w:t>
            </w:r>
            <w:r>
              <w:rPr>
                <w:rFonts w:hint="eastAsia" w:cs="宋体"/>
                <w:sz w:val="21"/>
                <w:szCs w:val="21"/>
                <w:highlight w:val="none"/>
              </w:rPr>
              <w:t>技术参数及配置要求的得25分；在此基础上，每有一项不满足未加▲和★号的技术参数及要求的扣0.5分。25分扣完为止。</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b/>
                <w:bCs/>
                <w:sz w:val="21"/>
                <w:szCs w:val="21"/>
                <w:highlight w:val="none"/>
              </w:rPr>
              <w:t>注：针对招标文件技术参数及配置要求中的“▲”号条款技术参数，投标人应按照招标文件“技术参数及功能要求”提供相关资料，没有按照招标文件要求提供相关资料的，该项技术参数在评审中将不予认定。</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三</w:t>
            </w:r>
          </w:p>
        </w:tc>
        <w:tc>
          <w:tcPr>
            <w:tcW w:w="63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hint="eastAsia" w:cs="宋体"/>
                <w:sz w:val="21"/>
                <w:szCs w:val="21"/>
                <w:highlight w:val="none"/>
              </w:rPr>
            </w:pPr>
            <w:r>
              <w:rPr>
                <w:rFonts w:hint="eastAsia" w:cs="宋体"/>
                <w:sz w:val="21"/>
                <w:szCs w:val="21"/>
                <w:highlight w:val="none"/>
              </w:rPr>
              <w:t>履约能力</w:t>
            </w:r>
          </w:p>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16%</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16分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cs="宋体"/>
                <w:sz w:val="21"/>
                <w:szCs w:val="21"/>
                <w:highlight w:val="none"/>
              </w:rPr>
              <w:t>1.</w:t>
            </w:r>
            <w:r>
              <w:rPr>
                <w:rFonts w:hint="eastAsia" w:cs="宋体"/>
                <w:sz w:val="21"/>
                <w:szCs w:val="21"/>
                <w:highlight w:val="none"/>
              </w:rPr>
              <w:t>投标产品中正线联锁控制柜或正线继电器组合架或正线操作系统控制台任意一个</w:t>
            </w:r>
            <w:r>
              <w:rPr>
                <w:rFonts w:hint="eastAsia" w:cs="宋体"/>
                <w:sz w:val="21"/>
                <w:szCs w:val="21"/>
                <w:highlight w:val="none"/>
                <w:lang w:val="en-US" w:eastAsia="zh-CN"/>
              </w:rPr>
              <w:t>产品</w:t>
            </w:r>
            <w:r>
              <w:rPr>
                <w:rFonts w:hint="eastAsia" w:cs="宋体"/>
                <w:sz w:val="21"/>
                <w:szCs w:val="21"/>
                <w:highlight w:val="none"/>
              </w:rPr>
              <w:t>为省级及以上职业技能大赛使用产品，每提供一个省级及以上职业技能大赛证明材料得</w:t>
            </w:r>
            <w:r>
              <w:rPr>
                <w:rFonts w:cs="宋体"/>
                <w:sz w:val="21"/>
                <w:szCs w:val="21"/>
                <w:highlight w:val="none"/>
              </w:rPr>
              <w:t>1</w:t>
            </w:r>
            <w:r>
              <w:rPr>
                <w:rFonts w:hint="eastAsia" w:cs="宋体"/>
                <w:sz w:val="21"/>
                <w:szCs w:val="21"/>
                <w:highlight w:val="none"/>
              </w:rPr>
              <w:t>分，不同产品同一竞赛只能计分一次，最多得</w:t>
            </w:r>
            <w:r>
              <w:rPr>
                <w:rFonts w:cs="宋体"/>
                <w:sz w:val="21"/>
                <w:szCs w:val="21"/>
                <w:highlight w:val="none"/>
              </w:rPr>
              <w:t>4</w:t>
            </w:r>
            <w:r>
              <w:rPr>
                <w:rFonts w:hint="eastAsia" w:cs="宋体"/>
                <w:sz w:val="21"/>
                <w:szCs w:val="21"/>
                <w:highlight w:val="none"/>
              </w:rPr>
              <w:t>分；</w:t>
            </w:r>
          </w:p>
          <w:p>
            <w:pPr>
              <w:keepNext w:val="0"/>
              <w:keepLines w:val="0"/>
              <w:pageBreakBefore w:val="0"/>
              <w:widowControl w:val="0"/>
              <w:kinsoku/>
              <w:wordWrap w:val="0"/>
              <w:overflowPunct/>
              <w:bidi w:val="0"/>
              <w:adjustRightInd w:val="0"/>
              <w:spacing w:line="320" w:lineRule="exact"/>
              <w:ind w:left="28"/>
              <w:textAlignment w:val="auto"/>
              <w:rPr>
                <w:rFonts w:hint="eastAsia" w:eastAsia="宋体" w:cs="宋体"/>
                <w:b/>
                <w:bCs/>
                <w:sz w:val="21"/>
                <w:szCs w:val="21"/>
                <w:highlight w:val="none"/>
                <w:lang w:eastAsia="zh-CN"/>
              </w:rPr>
            </w:pPr>
            <w:r>
              <w:rPr>
                <w:rFonts w:hint="eastAsia" w:cs="宋体"/>
                <w:b/>
                <w:bCs/>
                <w:sz w:val="21"/>
                <w:szCs w:val="21"/>
                <w:highlight w:val="none"/>
              </w:rPr>
              <w:t>注：提供职业技能大赛证明材料及赛场设备图片</w:t>
            </w:r>
            <w:r>
              <w:rPr>
                <w:rFonts w:hint="eastAsia" w:cs="宋体"/>
                <w:b/>
                <w:bCs/>
                <w:sz w:val="21"/>
                <w:szCs w:val="21"/>
                <w:highlight w:val="none"/>
                <w:lang w:eastAsia="zh-CN"/>
              </w:rPr>
              <w:t>。</w:t>
            </w:r>
          </w:p>
          <w:p>
            <w:pPr>
              <w:pStyle w:val="32"/>
              <w:keepNext w:val="0"/>
              <w:keepLines w:val="0"/>
              <w:pageBreakBefore w:val="0"/>
              <w:widowControl w:val="0"/>
              <w:numPr>
                <w:ilvl w:val="0"/>
                <w:numId w:val="0"/>
              </w:numPr>
              <w:kinsoku/>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w:t>
            </w:r>
            <w:r>
              <w:rPr>
                <w:rFonts w:cs="宋体"/>
                <w:sz w:val="21"/>
                <w:szCs w:val="21"/>
                <w:highlight w:val="none"/>
              </w:rPr>
              <w:t>.</w:t>
            </w:r>
            <w:r>
              <w:rPr>
                <w:rFonts w:hint="eastAsia" w:cs="宋体"/>
                <w:sz w:val="21"/>
                <w:szCs w:val="21"/>
                <w:highlight w:val="none"/>
              </w:rPr>
              <w:t>投标人自</w:t>
            </w:r>
            <w:r>
              <w:rPr>
                <w:rFonts w:cs="宋体"/>
                <w:sz w:val="21"/>
                <w:szCs w:val="21"/>
                <w:highlight w:val="none"/>
              </w:rPr>
              <w:t>2019年1月1日(含1日)以来具有类似项目履约经验，每具有1个得2分，最多得6分</w:t>
            </w:r>
            <w:r>
              <w:rPr>
                <w:rFonts w:hint="eastAsia" w:cs="宋体"/>
                <w:sz w:val="21"/>
                <w:szCs w:val="21"/>
                <w:highlight w:val="none"/>
              </w:rPr>
              <w:t>。</w:t>
            </w:r>
          </w:p>
          <w:p>
            <w:pPr>
              <w:keepNext w:val="0"/>
              <w:keepLines w:val="0"/>
              <w:pageBreakBefore w:val="0"/>
              <w:widowControl w:val="0"/>
              <w:kinsoku/>
              <w:wordWrap w:val="0"/>
              <w:overflowPunct/>
              <w:bidi w:val="0"/>
              <w:adjustRightInd w:val="0"/>
              <w:spacing w:line="320" w:lineRule="exact"/>
              <w:ind w:left="28"/>
              <w:textAlignment w:val="auto"/>
              <w:rPr>
                <w:b/>
                <w:bCs/>
                <w:sz w:val="21"/>
                <w:szCs w:val="21"/>
                <w:highlight w:val="none"/>
              </w:rPr>
            </w:pPr>
            <w:r>
              <w:rPr>
                <w:rFonts w:hint="eastAsia" w:cs="宋体"/>
                <w:b/>
                <w:bCs/>
                <w:sz w:val="21"/>
                <w:szCs w:val="21"/>
                <w:highlight w:val="none"/>
              </w:rPr>
              <w:t>注①提供合同复印件和中标</w:t>
            </w:r>
            <w:r>
              <w:rPr>
                <w:rFonts w:cs="宋体"/>
                <w:b/>
                <w:bCs/>
                <w:sz w:val="21"/>
                <w:szCs w:val="21"/>
                <w:highlight w:val="none"/>
              </w:rPr>
              <w:t>/成交通知书；</w:t>
            </w:r>
            <w:r>
              <w:rPr>
                <w:rFonts w:hint="eastAsia" w:cs="宋体"/>
                <w:b/>
                <w:bCs/>
                <w:sz w:val="21"/>
                <w:szCs w:val="21"/>
                <w:highlight w:val="none"/>
              </w:rPr>
              <w:t>②</w:t>
            </w:r>
            <w:r>
              <w:rPr>
                <w:rFonts w:cs="宋体"/>
                <w:b/>
                <w:bCs/>
                <w:sz w:val="21"/>
                <w:szCs w:val="21"/>
                <w:highlight w:val="none"/>
              </w:rPr>
              <w:t>若</w:t>
            </w:r>
            <w:r>
              <w:rPr>
                <w:rFonts w:hint="eastAsia" w:cs="宋体"/>
                <w:b/>
                <w:bCs/>
                <w:sz w:val="21"/>
                <w:szCs w:val="21"/>
                <w:highlight w:val="none"/>
              </w:rPr>
              <w:t>类似</w:t>
            </w:r>
            <w:r>
              <w:rPr>
                <w:rFonts w:cs="宋体"/>
                <w:b/>
                <w:bCs/>
                <w:sz w:val="21"/>
                <w:szCs w:val="21"/>
                <w:highlight w:val="none"/>
              </w:rPr>
              <w:t>履约经验与省级及以上职业技能大赛重复时，不累计得分</w:t>
            </w:r>
            <w:r>
              <w:rPr>
                <w:rFonts w:hint="eastAsia" w:cs="宋体"/>
                <w:b/>
                <w:bCs/>
                <w:sz w:val="21"/>
                <w:szCs w:val="21"/>
                <w:highlight w:val="none"/>
              </w:rPr>
              <w:t>。</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cs="宋体"/>
                <w:sz w:val="21"/>
                <w:szCs w:val="21"/>
                <w:highlight w:val="none"/>
              </w:rPr>
              <w:t>3</w:t>
            </w:r>
            <w:r>
              <w:rPr>
                <w:rFonts w:hint="eastAsia" w:cs="宋体"/>
                <w:sz w:val="21"/>
                <w:szCs w:val="21"/>
                <w:highlight w:val="none"/>
              </w:rPr>
              <w:t>.投标人为本项目配置的服务人员中，每有1人具有中级及以上信号工证书的得2分，最高加6分。</w:t>
            </w:r>
          </w:p>
          <w:p>
            <w:pPr>
              <w:pStyle w:val="82"/>
              <w:keepNext w:val="0"/>
              <w:keepLines w:val="0"/>
              <w:pageBreakBefore w:val="0"/>
              <w:widowControl w:val="0"/>
              <w:kinsoku/>
              <w:wordWrap w:val="0"/>
              <w:overflowPunct/>
              <w:bidi w:val="0"/>
              <w:adjustRightInd w:val="0"/>
              <w:spacing w:line="320" w:lineRule="exact"/>
              <w:ind w:left="28"/>
              <w:textAlignment w:val="auto"/>
              <w:rPr>
                <w:b/>
                <w:bCs/>
                <w:color w:val="auto"/>
                <w:kern w:val="2"/>
                <w:sz w:val="21"/>
                <w:szCs w:val="21"/>
                <w:highlight w:val="none"/>
              </w:rPr>
            </w:pPr>
            <w:r>
              <w:rPr>
                <w:rFonts w:hint="eastAsia"/>
                <w:b/>
                <w:bCs/>
                <w:color w:val="auto"/>
                <w:kern w:val="2"/>
                <w:sz w:val="21"/>
                <w:szCs w:val="21"/>
                <w:highlight w:val="none"/>
              </w:rPr>
              <w:t>注：①提供拟派人员有效身份证复印件和资格证书复印件；</w:t>
            </w:r>
          </w:p>
          <w:p>
            <w:pPr>
              <w:pStyle w:val="82"/>
              <w:keepNext w:val="0"/>
              <w:keepLines w:val="0"/>
              <w:pageBreakBefore w:val="0"/>
              <w:widowControl w:val="0"/>
              <w:kinsoku/>
              <w:wordWrap w:val="0"/>
              <w:overflowPunct/>
              <w:bidi w:val="0"/>
              <w:adjustRightInd w:val="0"/>
              <w:spacing w:line="320" w:lineRule="exact"/>
              <w:ind w:left="28"/>
              <w:textAlignment w:val="auto"/>
              <w:rPr>
                <w:b/>
                <w:bCs/>
                <w:color w:val="auto"/>
                <w:kern w:val="2"/>
                <w:sz w:val="21"/>
                <w:szCs w:val="21"/>
                <w:highlight w:val="none"/>
              </w:rPr>
            </w:pPr>
            <w:r>
              <w:rPr>
                <w:rFonts w:hint="eastAsia"/>
                <w:b/>
                <w:bCs/>
                <w:color w:val="auto"/>
                <w:kern w:val="2"/>
                <w:sz w:val="21"/>
                <w:szCs w:val="21"/>
                <w:highlight w:val="none"/>
              </w:rPr>
              <w:t>②提供在职证明材料</w:t>
            </w:r>
            <w:r>
              <w:rPr>
                <w:rFonts w:hint="eastAsia"/>
                <w:b/>
                <w:bCs/>
                <w:color w:val="auto"/>
                <w:kern w:val="2"/>
                <w:sz w:val="21"/>
                <w:szCs w:val="21"/>
                <w:highlight w:val="none"/>
                <w:lang w:eastAsia="zh-CN"/>
              </w:rPr>
              <w:t>(</w:t>
            </w:r>
            <w:r>
              <w:rPr>
                <w:rFonts w:hint="eastAsia"/>
                <w:b/>
                <w:bCs/>
                <w:color w:val="auto"/>
                <w:kern w:val="2"/>
                <w:sz w:val="21"/>
                <w:szCs w:val="21"/>
                <w:highlight w:val="none"/>
              </w:rPr>
              <w:t>投标人与拟派人员签订的劳动或者劳务合同</w:t>
            </w:r>
            <w:r>
              <w:rPr>
                <w:rFonts w:hint="eastAsia"/>
                <w:b/>
                <w:bCs/>
                <w:color w:val="auto"/>
                <w:kern w:val="2"/>
                <w:sz w:val="21"/>
                <w:szCs w:val="21"/>
                <w:highlight w:val="none"/>
                <w:lang w:eastAsia="zh-CN"/>
              </w:rPr>
              <w:t>)</w:t>
            </w:r>
            <w:r>
              <w:rPr>
                <w:rFonts w:hint="eastAsia"/>
                <w:b/>
                <w:bCs/>
                <w:color w:val="auto"/>
                <w:kern w:val="2"/>
                <w:sz w:val="21"/>
                <w:szCs w:val="21"/>
                <w:highlight w:val="none"/>
              </w:rPr>
              <w:t>复印件；</w:t>
            </w:r>
          </w:p>
          <w:p>
            <w:pPr>
              <w:pStyle w:val="82"/>
              <w:keepNext w:val="0"/>
              <w:keepLines w:val="0"/>
              <w:pageBreakBefore w:val="0"/>
              <w:widowControl w:val="0"/>
              <w:kinsoku/>
              <w:wordWrap w:val="0"/>
              <w:overflowPunct/>
              <w:bidi w:val="0"/>
              <w:adjustRightInd w:val="0"/>
              <w:spacing w:line="320" w:lineRule="exact"/>
              <w:ind w:left="28"/>
              <w:textAlignment w:val="auto"/>
              <w:rPr>
                <w:color w:val="auto"/>
                <w:kern w:val="2"/>
                <w:sz w:val="21"/>
                <w:szCs w:val="21"/>
                <w:highlight w:val="none"/>
              </w:rPr>
            </w:pPr>
            <w:r>
              <w:rPr>
                <w:rFonts w:hint="eastAsia"/>
                <w:b/>
                <w:bCs/>
                <w:color w:val="auto"/>
                <w:kern w:val="2"/>
                <w:sz w:val="21"/>
                <w:szCs w:val="21"/>
                <w:highlight w:val="none"/>
              </w:rPr>
              <w:t>③上述材料不提供或提供不全的不得分。</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36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四</w:t>
            </w:r>
          </w:p>
        </w:tc>
        <w:tc>
          <w:tcPr>
            <w:tcW w:w="636" w:type="pct"/>
            <w:noWrap/>
            <w:vAlign w:val="center"/>
          </w:tcPr>
          <w:p>
            <w:pPr>
              <w:pStyle w:val="29"/>
              <w:keepNext w:val="0"/>
              <w:keepLines w:val="0"/>
              <w:pageBreakBefore w:val="0"/>
              <w:widowControl w:val="0"/>
              <w:kinsoku/>
              <w:overflowPunct/>
              <w:bidi w:val="0"/>
              <w:adjustRightInd w:val="0"/>
              <w:spacing w:line="320" w:lineRule="exact"/>
              <w:ind w:left="28"/>
              <w:jc w:val="center"/>
              <w:textAlignment w:val="auto"/>
              <w:rPr>
                <w:rFonts w:cs="宋体"/>
                <w:sz w:val="21"/>
                <w:szCs w:val="21"/>
                <w:highlight w:val="none"/>
              </w:rPr>
            </w:pPr>
            <w:r>
              <w:rPr>
                <w:rFonts w:hint="eastAsia" w:cs="宋体"/>
                <w:snapToGrid/>
                <w:sz w:val="21"/>
                <w:szCs w:val="21"/>
                <w:highlight w:val="none"/>
              </w:rPr>
              <w:t>节能、环境</w:t>
            </w:r>
            <w:r>
              <w:rPr>
                <w:rFonts w:hint="eastAsia" w:cs="宋体"/>
                <w:sz w:val="21"/>
                <w:szCs w:val="21"/>
                <w:highlight w:val="none"/>
              </w:rPr>
              <w:t>标志、无线局域网产品</w:t>
            </w:r>
          </w:p>
        </w:tc>
        <w:tc>
          <w:tcPr>
            <w:tcW w:w="376"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r>
              <w:rPr>
                <w:rFonts w:hint="eastAsia" w:cs="宋体"/>
                <w:sz w:val="21"/>
                <w:szCs w:val="21"/>
                <w:highlight w:val="none"/>
              </w:rPr>
              <w:t>1分</w:t>
            </w:r>
          </w:p>
        </w:tc>
        <w:tc>
          <w:tcPr>
            <w:tcW w:w="3136" w:type="pct"/>
            <w:noWrap/>
            <w:vAlign w:val="center"/>
          </w:tcPr>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w:t>
            </w:r>
            <w:r>
              <w:rPr>
                <w:rFonts w:hint="eastAsia" w:cs="宋体"/>
                <w:sz w:val="21"/>
                <w:szCs w:val="21"/>
                <w:highlight w:val="none"/>
                <w:lang w:eastAsia="zh-CN"/>
              </w:rPr>
              <w:t>(</w:t>
            </w:r>
            <w:r>
              <w:rPr>
                <w:rFonts w:hint="eastAsia" w:cs="宋体"/>
                <w:sz w:val="21"/>
                <w:szCs w:val="21"/>
                <w:highlight w:val="none"/>
              </w:rPr>
              <w:t>除节能产品政府采购品目清单中的政府强制采购产品外</w:t>
            </w:r>
            <w:r>
              <w:rPr>
                <w:rFonts w:hint="eastAsia" w:cs="宋体"/>
                <w:sz w:val="21"/>
                <w:szCs w:val="21"/>
                <w:highlight w:val="none"/>
                <w:lang w:eastAsia="zh-CN"/>
              </w:rPr>
              <w:t>)</w:t>
            </w:r>
            <w:r>
              <w:rPr>
                <w:rFonts w:hint="eastAsia" w:cs="宋体"/>
                <w:sz w:val="21"/>
                <w:szCs w:val="21"/>
                <w:highlight w:val="none"/>
              </w:rPr>
              <w:t>的得0.5分，属于环境标志产品政府采购品目清单中的得0.5分，最多得0.5分。</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2.认定为无线局域网认证产品的，供应商提供《无线局域网认证产品政府采购清单》对应页复印件并加盖供应商单位公章的得0.5分，最多0.5分。</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keepNext w:val="0"/>
              <w:keepLines w:val="0"/>
              <w:pageBreakBefore w:val="0"/>
              <w:widowControl w:val="0"/>
              <w:kinsoku/>
              <w:wordWrap w:val="0"/>
              <w:overflowPunct/>
              <w:bidi w:val="0"/>
              <w:adjustRightInd w:val="0"/>
              <w:spacing w:line="320" w:lineRule="exact"/>
              <w:ind w:left="28"/>
              <w:textAlignment w:val="auto"/>
              <w:rPr>
                <w:rFonts w:cs="宋体"/>
                <w:sz w:val="21"/>
                <w:szCs w:val="21"/>
                <w:highlight w:val="none"/>
              </w:rPr>
            </w:pPr>
            <w:r>
              <w:rPr>
                <w:rFonts w:hint="eastAsia" w:cs="宋体"/>
                <w:sz w:val="21"/>
                <w:szCs w:val="21"/>
                <w:highlight w:val="none"/>
              </w:rPr>
              <w:t>②“无线局域网认证产品政府采购清单”以财政部会同国务院有关部门机构认定的为准。</w:t>
            </w:r>
          </w:p>
        </w:tc>
        <w:tc>
          <w:tcPr>
            <w:tcW w:w="483" w:type="pct"/>
            <w:noWrap/>
            <w:vAlign w:val="center"/>
          </w:tcPr>
          <w:p>
            <w:pPr>
              <w:keepNext w:val="0"/>
              <w:keepLines w:val="0"/>
              <w:pageBreakBefore w:val="0"/>
              <w:widowControl w:val="0"/>
              <w:kinsoku/>
              <w:wordWrap w:val="0"/>
              <w:overflowPunct/>
              <w:bidi w:val="0"/>
              <w:adjustRightInd w:val="0"/>
              <w:spacing w:line="320" w:lineRule="exact"/>
              <w:ind w:left="28"/>
              <w:jc w:val="center"/>
              <w:textAlignment w:val="auto"/>
              <w:rPr>
                <w:rFonts w:cs="宋体"/>
                <w:sz w:val="21"/>
                <w:szCs w:val="21"/>
                <w:highlight w:val="none"/>
              </w:rPr>
            </w:pPr>
          </w:p>
        </w:tc>
      </w:tr>
    </w:tbl>
    <w:p>
      <w:pPr>
        <w:pStyle w:val="30"/>
        <w:numPr>
          <w:ilvl w:val="1"/>
          <w:numId w:val="12"/>
        </w:numPr>
        <w:ind w:firstLine="482"/>
        <w:rPr>
          <w:highlight w:val="none"/>
        </w:rPr>
      </w:pPr>
      <w:bookmarkStart w:id="1123" w:name="_Toc30212"/>
      <w:bookmarkStart w:id="1124" w:name="_Toc7366"/>
      <w:r>
        <w:rPr>
          <w:rFonts w:hint="eastAsia"/>
          <w:highlight w:val="none"/>
        </w:rPr>
        <w:t>复核</w:t>
      </w:r>
      <w:bookmarkEnd w:id="1117"/>
      <w:bookmarkEnd w:id="1118"/>
      <w:bookmarkEnd w:id="1123"/>
      <w:bookmarkEnd w:id="1124"/>
    </w:p>
    <w:p>
      <w:pPr>
        <w:pStyle w:val="41"/>
        <w:numPr>
          <w:ilvl w:val="1"/>
          <w:numId w:val="34"/>
        </w:numPr>
        <w:ind w:firstLine="480"/>
        <w:rPr>
          <w:highlight w:val="none"/>
        </w:rPr>
      </w:pPr>
      <w:r>
        <w:rPr>
          <w:rFonts w:hint="eastAsia"/>
          <w:highlight w:val="none"/>
        </w:rPr>
        <w:t>评标委员会复核</w:t>
      </w:r>
    </w:p>
    <w:p>
      <w:pPr>
        <w:pStyle w:val="29"/>
        <w:ind w:firstLine="480" w:firstLineChars="200"/>
        <w:rPr>
          <w:highlight w:val="none"/>
        </w:rPr>
      </w:pPr>
      <w:r>
        <w:rPr>
          <w:rFonts w:hint="eastAsia"/>
          <w:highlight w:val="none"/>
        </w:rPr>
        <w:t>评分汇总结束后，评标委员会应当进行复核，特别要对拟推荐为中标候选供应商的、报价最低的、投标文件被认定为无效的进行重点复核。</w:t>
      </w:r>
    </w:p>
    <w:p>
      <w:pPr>
        <w:pStyle w:val="41"/>
        <w:numPr>
          <w:ilvl w:val="1"/>
          <w:numId w:val="31"/>
        </w:numPr>
        <w:ind w:firstLine="480"/>
        <w:rPr>
          <w:highlight w:val="none"/>
        </w:rPr>
      </w:pPr>
      <w:r>
        <w:rPr>
          <w:rFonts w:hint="eastAsia"/>
          <w:highlight w:val="none"/>
        </w:rPr>
        <w:t>采购代理机构现场复核评审结果</w:t>
      </w:r>
    </w:p>
    <w:p>
      <w:pPr>
        <w:pStyle w:val="43"/>
        <w:numPr>
          <w:ilvl w:val="2"/>
          <w:numId w:val="31"/>
        </w:numPr>
        <w:ind w:firstLine="480"/>
        <w:rPr>
          <w:highlight w:val="none"/>
        </w:rPr>
      </w:pPr>
      <w:r>
        <w:rPr>
          <w:rFonts w:hint="eastAsia"/>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4"/>
        <w:numPr>
          <w:ilvl w:val="3"/>
          <w:numId w:val="31"/>
        </w:numPr>
        <w:ind w:firstLine="480"/>
        <w:rPr>
          <w:highlight w:val="none"/>
        </w:rPr>
      </w:pPr>
      <w:r>
        <w:rPr>
          <w:rFonts w:hint="eastAsia"/>
          <w:highlight w:val="none"/>
        </w:rPr>
        <w:t>分值汇总计算错误的；</w:t>
      </w:r>
    </w:p>
    <w:p>
      <w:pPr>
        <w:pStyle w:val="44"/>
        <w:numPr>
          <w:ilvl w:val="3"/>
          <w:numId w:val="31"/>
        </w:numPr>
        <w:ind w:firstLine="480"/>
        <w:rPr>
          <w:highlight w:val="none"/>
        </w:rPr>
      </w:pPr>
      <w:r>
        <w:rPr>
          <w:rFonts w:hint="eastAsia"/>
          <w:highlight w:val="none"/>
        </w:rPr>
        <w:t>分项评分超出评分标准范围的；</w:t>
      </w:r>
    </w:p>
    <w:p>
      <w:pPr>
        <w:pStyle w:val="44"/>
        <w:numPr>
          <w:ilvl w:val="3"/>
          <w:numId w:val="31"/>
        </w:numPr>
        <w:ind w:firstLine="480"/>
        <w:rPr>
          <w:highlight w:val="none"/>
        </w:rPr>
      </w:pPr>
      <w:r>
        <w:rPr>
          <w:rFonts w:hint="eastAsia"/>
          <w:highlight w:val="none"/>
        </w:rPr>
        <w:t>评标委员会成员对客观评审因素评分不一致的；</w:t>
      </w:r>
    </w:p>
    <w:p>
      <w:pPr>
        <w:pStyle w:val="44"/>
        <w:numPr>
          <w:ilvl w:val="3"/>
          <w:numId w:val="31"/>
        </w:numPr>
        <w:ind w:firstLine="480"/>
        <w:rPr>
          <w:highlight w:val="none"/>
        </w:rPr>
      </w:pPr>
      <w:r>
        <w:rPr>
          <w:rFonts w:hint="eastAsia"/>
          <w:highlight w:val="none"/>
        </w:rPr>
        <w:t>经评标委员会认定评分畸高、畸低的。</w:t>
      </w:r>
    </w:p>
    <w:p>
      <w:pPr>
        <w:pStyle w:val="33"/>
        <w:rPr>
          <w:highlight w:val="none"/>
        </w:rPr>
      </w:pPr>
      <w:r>
        <w:rPr>
          <w:rFonts w:hint="eastAsia"/>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3"/>
        <w:rPr>
          <w:highlight w:val="none"/>
        </w:rPr>
      </w:pPr>
      <w:r>
        <w:rPr>
          <w:rFonts w:hint="eastAsia"/>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3"/>
        <w:numPr>
          <w:ilvl w:val="2"/>
          <w:numId w:val="31"/>
        </w:numPr>
        <w:ind w:firstLine="480"/>
        <w:rPr>
          <w:highlight w:val="none"/>
        </w:rPr>
      </w:pPr>
      <w:r>
        <w:rPr>
          <w:rFonts w:hint="eastAsia"/>
          <w:highlight w:val="none"/>
        </w:rPr>
        <w:t>采购代理机构复核过程中，评标委员会不得离开评标现场。</w:t>
      </w:r>
    </w:p>
    <w:p>
      <w:pPr>
        <w:pStyle w:val="43"/>
        <w:numPr>
          <w:ilvl w:val="2"/>
          <w:numId w:val="31"/>
        </w:numPr>
        <w:ind w:firstLine="480"/>
        <w:rPr>
          <w:highlight w:val="none"/>
        </w:rPr>
      </w:pPr>
      <w:r>
        <w:rPr>
          <w:rFonts w:hint="eastAsia"/>
          <w:highlight w:val="none"/>
        </w:rPr>
        <w:t>有下列情形之一的，不得修改评标结果或者重新评标：</w:t>
      </w:r>
    </w:p>
    <w:p>
      <w:pPr>
        <w:pStyle w:val="44"/>
        <w:numPr>
          <w:ilvl w:val="3"/>
          <w:numId w:val="31"/>
        </w:numPr>
        <w:ind w:firstLine="480"/>
        <w:rPr>
          <w:highlight w:val="none"/>
        </w:rPr>
      </w:pPr>
      <w:r>
        <w:rPr>
          <w:rFonts w:hint="eastAsia"/>
          <w:highlight w:val="none"/>
        </w:rPr>
        <w:t>评标委员会已经出具评标报告并且离开评标现场的；</w:t>
      </w:r>
    </w:p>
    <w:p>
      <w:pPr>
        <w:pStyle w:val="44"/>
        <w:numPr>
          <w:ilvl w:val="3"/>
          <w:numId w:val="31"/>
        </w:numPr>
        <w:ind w:firstLine="480"/>
        <w:rPr>
          <w:highlight w:val="none"/>
        </w:rPr>
      </w:pPr>
      <w:r>
        <w:rPr>
          <w:rFonts w:hint="eastAsia"/>
          <w:highlight w:val="none"/>
        </w:rPr>
        <w:t>采购代理机构现场复核时，复核工作人员数量不足的；</w:t>
      </w:r>
    </w:p>
    <w:p>
      <w:pPr>
        <w:pStyle w:val="44"/>
        <w:numPr>
          <w:ilvl w:val="3"/>
          <w:numId w:val="31"/>
        </w:numPr>
        <w:ind w:firstLine="480"/>
        <w:rPr>
          <w:highlight w:val="none"/>
        </w:rPr>
      </w:pPr>
      <w:r>
        <w:rPr>
          <w:rFonts w:hint="eastAsia"/>
          <w:highlight w:val="none"/>
        </w:rPr>
        <w:t>采购代理机构现场复核时，没有采购监督人员现场监督的；</w:t>
      </w:r>
    </w:p>
    <w:p>
      <w:pPr>
        <w:pStyle w:val="44"/>
        <w:numPr>
          <w:ilvl w:val="3"/>
          <w:numId w:val="31"/>
        </w:numPr>
        <w:ind w:firstLine="480"/>
        <w:rPr>
          <w:highlight w:val="none"/>
        </w:rPr>
      </w:pPr>
      <w:r>
        <w:rPr>
          <w:rFonts w:hint="eastAsia"/>
          <w:highlight w:val="none"/>
        </w:rPr>
        <w:t>采购代理机构现场复核内容超出规定范围的；</w:t>
      </w:r>
    </w:p>
    <w:p>
      <w:pPr>
        <w:pStyle w:val="44"/>
        <w:numPr>
          <w:ilvl w:val="3"/>
          <w:numId w:val="31"/>
        </w:numPr>
        <w:ind w:firstLine="480"/>
        <w:rPr>
          <w:highlight w:val="none"/>
        </w:rPr>
      </w:pPr>
      <w:r>
        <w:rPr>
          <w:rFonts w:hint="eastAsia"/>
          <w:highlight w:val="none"/>
        </w:rPr>
        <w:t>采购代理机构未提供书面建议的。</w:t>
      </w:r>
    </w:p>
    <w:p>
      <w:pPr>
        <w:pStyle w:val="30"/>
        <w:numPr>
          <w:ilvl w:val="1"/>
          <w:numId w:val="12"/>
        </w:numPr>
        <w:ind w:firstLine="482"/>
        <w:rPr>
          <w:highlight w:val="none"/>
        </w:rPr>
      </w:pPr>
      <w:bookmarkStart w:id="1125" w:name="_Toc31256"/>
      <w:bookmarkStart w:id="1126" w:name="_Toc17386"/>
      <w:bookmarkStart w:id="1127" w:name="_Toc14025"/>
      <w:bookmarkStart w:id="1128" w:name="_Toc16836"/>
      <w:r>
        <w:rPr>
          <w:rFonts w:hint="eastAsia"/>
          <w:highlight w:val="none"/>
        </w:rPr>
        <w:t>推荐中标候选供应商</w:t>
      </w:r>
      <w:bookmarkEnd w:id="1125"/>
      <w:bookmarkEnd w:id="1126"/>
      <w:bookmarkEnd w:id="1127"/>
      <w:bookmarkEnd w:id="1128"/>
    </w:p>
    <w:p>
      <w:pPr>
        <w:pStyle w:val="33"/>
        <w:rPr>
          <w:highlight w:val="none"/>
        </w:rPr>
      </w:pPr>
      <w:r>
        <w:rPr>
          <w:rFonts w:hint="eastAsia"/>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3"/>
        <w:rPr>
          <w:highlight w:val="none"/>
        </w:rPr>
      </w:pPr>
      <w:r>
        <w:rPr>
          <w:rFonts w:hint="eastAsia"/>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0"/>
        <w:numPr>
          <w:ilvl w:val="1"/>
          <w:numId w:val="12"/>
        </w:numPr>
        <w:ind w:firstLine="482"/>
        <w:rPr>
          <w:highlight w:val="none"/>
        </w:rPr>
      </w:pPr>
      <w:bookmarkStart w:id="1129" w:name="_Toc7685"/>
      <w:bookmarkStart w:id="1130" w:name="_Toc15329"/>
      <w:bookmarkStart w:id="1131" w:name="_Toc15715"/>
      <w:bookmarkStart w:id="1132" w:name="_Toc3456"/>
      <w:r>
        <w:rPr>
          <w:rFonts w:hint="eastAsia"/>
          <w:highlight w:val="none"/>
        </w:rPr>
        <w:t>出具评标报告</w:t>
      </w:r>
      <w:bookmarkEnd w:id="1129"/>
      <w:bookmarkEnd w:id="1130"/>
      <w:bookmarkEnd w:id="1131"/>
      <w:bookmarkEnd w:id="1132"/>
    </w:p>
    <w:p>
      <w:pPr>
        <w:pStyle w:val="33"/>
        <w:rPr>
          <w:highlight w:val="none"/>
        </w:rPr>
      </w:pPr>
      <w:r>
        <w:rPr>
          <w:rFonts w:hint="eastAsia"/>
          <w:highlight w:val="none"/>
        </w:rPr>
        <w:t>评标委员会推荐中标候选供应商后，应当向招标采购单位出具评标报告。评标报告应当包括下列内容：</w:t>
      </w:r>
    </w:p>
    <w:p>
      <w:pPr>
        <w:pStyle w:val="41"/>
        <w:numPr>
          <w:ilvl w:val="1"/>
          <w:numId w:val="35"/>
        </w:numPr>
        <w:ind w:firstLine="480"/>
        <w:rPr>
          <w:highlight w:val="none"/>
        </w:rPr>
      </w:pPr>
      <w:r>
        <w:rPr>
          <w:rFonts w:hint="eastAsia"/>
          <w:highlight w:val="none"/>
        </w:rPr>
        <w:t>招标公告刊登的媒体名称、开标日期和地点；</w:t>
      </w:r>
    </w:p>
    <w:p>
      <w:pPr>
        <w:pStyle w:val="41"/>
        <w:numPr>
          <w:ilvl w:val="1"/>
          <w:numId w:val="35"/>
        </w:numPr>
        <w:ind w:firstLine="480"/>
        <w:rPr>
          <w:highlight w:val="none"/>
        </w:rPr>
      </w:pPr>
      <w:r>
        <w:rPr>
          <w:rFonts w:hint="eastAsia"/>
          <w:highlight w:val="none"/>
        </w:rPr>
        <w:t>投标人名单和评标委员会成员名单；</w:t>
      </w:r>
    </w:p>
    <w:p>
      <w:pPr>
        <w:pStyle w:val="41"/>
        <w:numPr>
          <w:ilvl w:val="1"/>
          <w:numId w:val="35"/>
        </w:numPr>
        <w:ind w:firstLine="480"/>
        <w:rPr>
          <w:highlight w:val="none"/>
        </w:rPr>
      </w:pPr>
      <w:r>
        <w:rPr>
          <w:rFonts w:hint="eastAsia"/>
          <w:highlight w:val="none"/>
        </w:rPr>
        <w:t>评标方法和标准；</w:t>
      </w:r>
    </w:p>
    <w:p>
      <w:pPr>
        <w:pStyle w:val="41"/>
        <w:numPr>
          <w:ilvl w:val="1"/>
          <w:numId w:val="35"/>
        </w:numPr>
        <w:ind w:firstLine="480"/>
        <w:rPr>
          <w:highlight w:val="none"/>
        </w:rPr>
      </w:pPr>
      <w:r>
        <w:rPr>
          <w:rFonts w:hint="eastAsia"/>
          <w:highlight w:val="none"/>
        </w:rPr>
        <w:t>开标记录和评标情况及说明，包括无效投标人名单及原因；</w:t>
      </w:r>
    </w:p>
    <w:p>
      <w:pPr>
        <w:pStyle w:val="41"/>
        <w:numPr>
          <w:ilvl w:val="1"/>
          <w:numId w:val="35"/>
        </w:numPr>
        <w:ind w:firstLine="480"/>
        <w:rPr>
          <w:highlight w:val="none"/>
        </w:rPr>
      </w:pPr>
      <w:r>
        <w:rPr>
          <w:rFonts w:hint="eastAsia"/>
          <w:highlight w:val="none"/>
        </w:rPr>
        <w:t>评标结果，确定的中标候选人名单或者经采购人委托直接确定的中标人；</w:t>
      </w:r>
    </w:p>
    <w:p>
      <w:pPr>
        <w:pStyle w:val="41"/>
        <w:numPr>
          <w:ilvl w:val="1"/>
          <w:numId w:val="35"/>
        </w:numPr>
        <w:ind w:firstLine="480"/>
        <w:rPr>
          <w:highlight w:val="none"/>
        </w:rPr>
      </w:pPr>
      <w:r>
        <w:rPr>
          <w:rFonts w:hint="eastAsia"/>
          <w:highlight w:val="none"/>
        </w:rPr>
        <w:t>其他需要说明的情况，包括评标过程中投标人根据评标委员会要求进行的澄清、说明或者补正，评标委员会成员的更换等。</w:t>
      </w:r>
    </w:p>
    <w:p>
      <w:pPr>
        <w:pStyle w:val="53"/>
        <w:ind w:firstLine="482"/>
        <w:rPr>
          <w:highlight w:val="none"/>
        </w:rPr>
      </w:pPr>
      <w:r>
        <w:rPr>
          <w:rFonts w:hint="eastAsia"/>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0"/>
        <w:numPr>
          <w:ilvl w:val="1"/>
          <w:numId w:val="12"/>
        </w:numPr>
        <w:ind w:firstLine="482"/>
        <w:rPr>
          <w:highlight w:val="none"/>
        </w:rPr>
      </w:pPr>
      <w:bookmarkStart w:id="1133" w:name="_Toc17073"/>
      <w:bookmarkStart w:id="1134" w:name="_Toc30106"/>
      <w:bookmarkStart w:id="1135" w:name="_Toc20943"/>
      <w:bookmarkStart w:id="1136" w:name="_Toc19258"/>
      <w:r>
        <w:rPr>
          <w:rFonts w:hint="eastAsia"/>
          <w:highlight w:val="none"/>
        </w:rPr>
        <w:t>废标</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119"/>
      <w:bookmarkEnd w:id="1120"/>
      <w:bookmarkEnd w:id="1121"/>
      <w:bookmarkEnd w:id="1122"/>
      <w:bookmarkEnd w:id="1133"/>
      <w:bookmarkEnd w:id="1134"/>
      <w:bookmarkEnd w:id="1135"/>
      <w:bookmarkEnd w:id="1136"/>
    </w:p>
    <w:p>
      <w:pPr>
        <w:pStyle w:val="33"/>
        <w:rPr>
          <w:highlight w:val="none"/>
        </w:rPr>
      </w:pPr>
      <w:r>
        <w:rPr>
          <w:rFonts w:hint="eastAsia"/>
          <w:highlight w:val="none"/>
        </w:rPr>
        <w:t>本次政府采购活动中，出现下列情形之一的，予以废标：</w:t>
      </w:r>
    </w:p>
    <w:p>
      <w:pPr>
        <w:pStyle w:val="43"/>
        <w:numPr>
          <w:ilvl w:val="2"/>
          <w:numId w:val="31"/>
        </w:numPr>
        <w:ind w:firstLine="480"/>
        <w:rPr>
          <w:highlight w:val="none"/>
        </w:rPr>
      </w:pPr>
      <w:r>
        <w:rPr>
          <w:rFonts w:hint="eastAsia"/>
          <w:highlight w:val="none"/>
        </w:rPr>
        <w:t>符合专业条件的供应商或者对招标文件作实质响应的供应商不足三家的；</w:t>
      </w:r>
    </w:p>
    <w:p>
      <w:pPr>
        <w:pStyle w:val="43"/>
        <w:numPr>
          <w:ilvl w:val="2"/>
          <w:numId w:val="31"/>
        </w:numPr>
        <w:ind w:firstLine="480"/>
        <w:rPr>
          <w:highlight w:val="none"/>
        </w:rPr>
      </w:pPr>
      <w:r>
        <w:rPr>
          <w:rFonts w:hint="eastAsia"/>
          <w:highlight w:val="none"/>
        </w:rPr>
        <w:t>出现影响采购公正的违法、违规行为的；</w:t>
      </w:r>
    </w:p>
    <w:p>
      <w:pPr>
        <w:pStyle w:val="43"/>
        <w:numPr>
          <w:ilvl w:val="2"/>
          <w:numId w:val="31"/>
        </w:numPr>
        <w:ind w:firstLine="480"/>
        <w:rPr>
          <w:highlight w:val="none"/>
        </w:rPr>
      </w:pPr>
      <w:r>
        <w:rPr>
          <w:rFonts w:hint="eastAsia"/>
          <w:highlight w:val="none"/>
        </w:rPr>
        <w:t>投标人的报价均超过了采购预算或单价最高限价，采购人不能支付的；</w:t>
      </w:r>
    </w:p>
    <w:p>
      <w:pPr>
        <w:pStyle w:val="43"/>
        <w:numPr>
          <w:ilvl w:val="2"/>
          <w:numId w:val="31"/>
        </w:numPr>
        <w:ind w:firstLine="480"/>
        <w:rPr>
          <w:highlight w:val="none"/>
        </w:rPr>
      </w:pPr>
      <w:r>
        <w:rPr>
          <w:rFonts w:hint="eastAsia"/>
          <w:highlight w:val="none"/>
        </w:rPr>
        <w:t>因重大变故，采购任务取消的。</w:t>
      </w:r>
    </w:p>
    <w:p>
      <w:pPr>
        <w:pStyle w:val="33"/>
        <w:rPr>
          <w:highlight w:val="none"/>
        </w:rPr>
      </w:pPr>
      <w:r>
        <w:rPr>
          <w:rFonts w:hint="eastAsia"/>
          <w:highlight w:val="none"/>
        </w:rPr>
        <w:t>废标后，采购代理机构应在“四川政府采购网”公告，并公告废标的理由。</w:t>
      </w:r>
    </w:p>
    <w:p>
      <w:pPr>
        <w:pStyle w:val="30"/>
        <w:numPr>
          <w:ilvl w:val="1"/>
          <w:numId w:val="12"/>
        </w:numPr>
        <w:ind w:firstLine="482"/>
        <w:rPr>
          <w:highlight w:val="none"/>
        </w:rPr>
      </w:pPr>
      <w:bookmarkStart w:id="1137" w:name="_Toc319439949"/>
      <w:bookmarkStart w:id="1138" w:name="_Toc13169"/>
      <w:bookmarkStart w:id="1139" w:name="_Toc319440193"/>
      <w:bookmarkStart w:id="1140" w:name="_Toc4475"/>
      <w:bookmarkStart w:id="1141" w:name="_Toc31281"/>
      <w:bookmarkStart w:id="1142" w:name="_Toc4794"/>
      <w:bookmarkStart w:id="1143" w:name="_Toc10846"/>
      <w:bookmarkStart w:id="1144" w:name="_Toc28175"/>
      <w:bookmarkStart w:id="1145" w:name="_Toc24655"/>
      <w:bookmarkStart w:id="1146" w:name="_Toc2453"/>
      <w:bookmarkStart w:id="1147" w:name="_Toc307564900"/>
      <w:bookmarkStart w:id="1148" w:name="_Toc309897567"/>
      <w:bookmarkStart w:id="1149" w:name="_Toc7121"/>
      <w:bookmarkStart w:id="1150" w:name="_Toc308084649"/>
      <w:bookmarkStart w:id="1151" w:name="_Toc768"/>
      <w:bookmarkStart w:id="1152" w:name="_Toc21352"/>
      <w:bookmarkStart w:id="1153" w:name="_Toc327196344"/>
      <w:bookmarkStart w:id="1154" w:name="_Toc22945"/>
      <w:bookmarkStart w:id="1155" w:name="_Toc308188202"/>
      <w:bookmarkStart w:id="1156" w:name="_Toc7714"/>
      <w:bookmarkStart w:id="1157" w:name="_Toc307501158"/>
      <w:bookmarkStart w:id="1158" w:name="_Toc25875"/>
      <w:r>
        <w:rPr>
          <w:rFonts w:hint="eastAsia"/>
          <w:highlight w:val="none"/>
        </w:rPr>
        <w:t>定标</w:t>
      </w:r>
      <w:bookmarkEnd w:id="1008"/>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Start w:id="1159" w:name="_Toc217446061"/>
    </w:p>
    <w:p>
      <w:pPr>
        <w:pStyle w:val="41"/>
        <w:numPr>
          <w:ilvl w:val="1"/>
          <w:numId w:val="36"/>
        </w:numPr>
        <w:ind w:firstLine="480"/>
        <w:rPr>
          <w:highlight w:val="none"/>
        </w:rPr>
      </w:pPr>
      <w:r>
        <w:rPr>
          <w:rFonts w:hint="eastAsia"/>
          <w:highlight w:val="none"/>
        </w:rPr>
        <w:t>定标原则</w:t>
      </w:r>
      <w:bookmarkEnd w:id="1159"/>
      <w:r>
        <w:rPr>
          <w:rFonts w:hint="eastAsia"/>
          <w:highlight w:val="none"/>
        </w:rPr>
        <w:t>：本项目根据评委会推荐的中标候选人名单，按顺序确定第1名为中标人。</w:t>
      </w:r>
    </w:p>
    <w:p>
      <w:pPr>
        <w:pStyle w:val="41"/>
        <w:numPr>
          <w:ilvl w:val="1"/>
          <w:numId w:val="36"/>
        </w:numPr>
        <w:ind w:firstLine="480"/>
        <w:rPr>
          <w:highlight w:val="none"/>
        </w:rPr>
      </w:pPr>
      <w:bookmarkStart w:id="1160" w:name="_Toc217446062"/>
      <w:r>
        <w:rPr>
          <w:rFonts w:hint="eastAsia"/>
          <w:highlight w:val="none"/>
        </w:rPr>
        <w:t>定标程序</w:t>
      </w:r>
      <w:bookmarkEnd w:id="1160"/>
    </w:p>
    <w:p>
      <w:pPr>
        <w:pStyle w:val="43"/>
        <w:numPr>
          <w:ilvl w:val="2"/>
          <w:numId w:val="31"/>
        </w:numPr>
        <w:ind w:firstLine="480"/>
        <w:rPr>
          <w:highlight w:val="none"/>
        </w:rPr>
      </w:pPr>
      <w:r>
        <w:rPr>
          <w:rFonts w:hint="eastAsia"/>
          <w:highlight w:val="none"/>
        </w:rPr>
        <w:t>评标委员会根据全体评标成员签字的原始评标记录和评标结果编写评标报告，推荐不少于三名中标候选人，并按照综合得分高低标明排列顺序。</w:t>
      </w:r>
    </w:p>
    <w:p>
      <w:pPr>
        <w:pStyle w:val="43"/>
        <w:numPr>
          <w:ilvl w:val="2"/>
          <w:numId w:val="31"/>
        </w:numPr>
        <w:ind w:firstLine="480"/>
        <w:rPr>
          <w:highlight w:val="none"/>
        </w:rPr>
      </w:pPr>
      <w:r>
        <w:rPr>
          <w:rFonts w:hint="eastAsia"/>
          <w:highlight w:val="none"/>
        </w:rPr>
        <w:t>采购代理机构在评标结束后2个工作日内将评标报告送采购人。</w:t>
      </w:r>
    </w:p>
    <w:p>
      <w:pPr>
        <w:pStyle w:val="43"/>
        <w:numPr>
          <w:ilvl w:val="2"/>
          <w:numId w:val="31"/>
        </w:numPr>
        <w:ind w:firstLine="480"/>
        <w:rPr>
          <w:highlight w:val="none"/>
        </w:rPr>
      </w:pPr>
      <w:r>
        <w:rPr>
          <w:rFonts w:hint="eastAsia"/>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33"/>
        <w:rPr>
          <w:highlight w:val="none"/>
        </w:rPr>
      </w:pPr>
      <w:r>
        <w:rPr>
          <w:rFonts w:hint="eastAsia"/>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43"/>
        <w:numPr>
          <w:ilvl w:val="2"/>
          <w:numId w:val="31"/>
        </w:numPr>
        <w:ind w:firstLine="480"/>
        <w:rPr>
          <w:highlight w:val="none"/>
        </w:rPr>
      </w:pPr>
      <w:r>
        <w:rPr>
          <w:rFonts w:hint="eastAsia"/>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3"/>
        <w:numPr>
          <w:ilvl w:val="2"/>
          <w:numId w:val="31"/>
        </w:numPr>
        <w:ind w:firstLine="480"/>
        <w:rPr>
          <w:highlight w:val="none"/>
        </w:rPr>
      </w:pPr>
      <w:r>
        <w:rPr>
          <w:rFonts w:hint="eastAsia"/>
          <w:highlight w:val="none"/>
        </w:rPr>
        <w:t>采购代理机构在中标人确定后2个工作日内，在“四川政府采购网”发布中标公告，同时向中标人发出中标通知书，</w:t>
      </w:r>
      <w:r>
        <w:rPr>
          <w:rFonts w:hint="eastAsia"/>
          <w:highlight w:val="none"/>
          <w:lang w:val="zh-CN"/>
        </w:rPr>
        <w:t>中标供应商自行登录“政府采购云平台”下载中标通知书</w:t>
      </w:r>
      <w:r>
        <w:rPr>
          <w:rFonts w:hint="eastAsia"/>
          <w:highlight w:val="none"/>
        </w:rPr>
        <w:t>。</w:t>
      </w:r>
    </w:p>
    <w:p>
      <w:pPr>
        <w:pStyle w:val="43"/>
        <w:numPr>
          <w:ilvl w:val="2"/>
          <w:numId w:val="31"/>
        </w:numPr>
        <w:ind w:firstLine="480"/>
        <w:rPr>
          <w:highlight w:val="none"/>
        </w:rPr>
      </w:pPr>
      <w:r>
        <w:rPr>
          <w:rFonts w:hint="eastAsia"/>
          <w:highlight w:val="none"/>
        </w:rPr>
        <w:t>采购人、采购代理机构不解释中标或未中标原因，招标采购单位不退回投标人投标文件和其他投标资料。</w:t>
      </w:r>
    </w:p>
    <w:bookmarkEnd w:id="1009"/>
    <w:p>
      <w:pPr>
        <w:pStyle w:val="30"/>
        <w:numPr>
          <w:ilvl w:val="1"/>
          <w:numId w:val="12"/>
        </w:numPr>
        <w:ind w:firstLine="482"/>
        <w:rPr>
          <w:highlight w:val="none"/>
        </w:rPr>
      </w:pPr>
      <w:bookmarkStart w:id="1161" w:name="_Toc10903"/>
      <w:bookmarkStart w:id="1162" w:name="_Toc6806"/>
      <w:bookmarkStart w:id="1163" w:name="_Toc8099"/>
      <w:bookmarkStart w:id="1164" w:name="_Toc15982"/>
      <w:bookmarkStart w:id="1165" w:name="_Toc327196345"/>
      <w:bookmarkStart w:id="1166" w:name="_Toc27423"/>
      <w:bookmarkStart w:id="1167" w:name="_Toc27662"/>
      <w:bookmarkStart w:id="1168" w:name="_Toc32114"/>
      <w:bookmarkStart w:id="1169" w:name="_Toc25198"/>
      <w:bookmarkStart w:id="1170" w:name="_Toc25084"/>
      <w:bookmarkStart w:id="1171" w:name="_Toc308188203"/>
      <w:bookmarkStart w:id="1172" w:name="_Toc16879"/>
      <w:bookmarkStart w:id="1173" w:name="_Toc307564901"/>
      <w:bookmarkStart w:id="1174" w:name="_Toc308084650"/>
      <w:bookmarkStart w:id="1175" w:name="_Toc309897568"/>
      <w:bookmarkStart w:id="1176" w:name="_Toc11924"/>
      <w:bookmarkStart w:id="1177" w:name="_Toc319439950"/>
      <w:bookmarkStart w:id="1178" w:name="_Toc22052"/>
      <w:bookmarkStart w:id="1179" w:name="_Toc22537"/>
      <w:bookmarkStart w:id="1180" w:name="_Toc14102"/>
      <w:bookmarkStart w:id="1181" w:name="_Toc307501159"/>
      <w:bookmarkStart w:id="1182" w:name="_Toc319440194"/>
      <w:r>
        <w:rPr>
          <w:rFonts w:hint="eastAsia"/>
          <w:highlight w:val="none"/>
        </w:rPr>
        <w:t>评标专家在政府采购活动中承担以下义务</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pPr>
        <w:pStyle w:val="41"/>
        <w:numPr>
          <w:ilvl w:val="1"/>
          <w:numId w:val="37"/>
        </w:numPr>
        <w:ind w:firstLine="480"/>
        <w:rPr>
          <w:highlight w:val="none"/>
        </w:rPr>
      </w:pPr>
      <w:r>
        <w:rPr>
          <w:rFonts w:hint="eastAsia"/>
          <w:highlight w:val="none"/>
        </w:rPr>
        <w:t>遵守评标工作纪律；</w:t>
      </w:r>
    </w:p>
    <w:p>
      <w:pPr>
        <w:pStyle w:val="41"/>
        <w:numPr>
          <w:ilvl w:val="1"/>
          <w:numId w:val="37"/>
        </w:numPr>
        <w:ind w:firstLine="480"/>
        <w:rPr>
          <w:highlight w:val="none"/>
        </w:rPr>
      </w:pPr>
      <w:r>
        <w:rPr>
          <w:rFonts w:hint="eastAsia"/>
          <w:highlight w:val="none"/>
        </w:rPr>
        <w:t>按照客观、公正、审慎的原则，根据招标文件规定的评标程序、评标方法和评标标准进行独立评标；</w:t>
      </w:r>
    </w:p>
    <w:p>
      <w:pPr>
        <w:pStyle w:val="41"/>
        <w:numPr>
          <w:ilvl w:val="1"/>
          <w:numId w:val="37"/>
        </w:numPr>
        <w:ind w:firstLine="480"/>
        <w:rPr>
          <w:highlight w:val="none"/>
        </w:rPr>
      </w:pPr>
      <w:r>
        <w:rPr>
          <w:rFonts w:hint="eastAsia"/>
          <w:highlight w:val="none"/>
        </w:rPr>
        <w:t>不得泄露评标文件、评标情况和在评标过程中获悉的商业秘密；</w:t>
      </w:r>
    </w:p>
    <w:p>
      <w:pPr>
        <w:pStyle w:val="41"/>
        <w:numPr>
          <w:ilvl w:val="1"/>
          <w:numId w:val="37"/>
        </w:numPr>
        <w:ind w:firstLine="480"/>
        <w:rPr>
          <w:highlight w:val="none"/>
        </w:rPr>
      </w:pPr>
      <w:r>
        <w:rPr>
          <w:rFonts w:hint="eastAsia"/>
          <w:highlight w:val="none"/>
        </w:rPr>
        <w:t>及时向财政部门报告评标过程中发现的采购人、采购代理机构向评标专家做倾向性、误导性的解释或者说明，以及供应商行贿、提供虚假材料或者串通等违法行为；</w:t>
      </w:r>
    </w:p>
    <w:p>
      <w:pPr>
        <w:pStyle w:val="41"/>
        <w:numPr>
          <w:ilvl w:val="1"/>
          <w:numId w:val="37"/>
        </w:numPr>
        <w:ind w:firstLine="480"/>
        <w:rPr>
          <w:highlight w:val="none"/>
        </w:rPr>
      </w:pPr>
      <w:r>
        <w:rPr>
          <w:rFonts w:hint="eastAsia"/>
          <w:highlight w:val="none"/>
        </w:rPr>
        <w:t>发现招标文件内容违反国家有关强制性规定或者采购文件存在歧义、重大缺陷导致评标工作无法进行时，停止评标并向采购人或者采购代理机构书面说明情况；</w:t>
      </w:r>
    </w:p>
    <w:p>
      <w:pPr>
        <w:pStyle w:val="41"/>
        <w:numPr>
          <w:ilvl w:val="1"/>
          <w:numId w:val="37"/>
        </w:numPr>
        <w:ind w:firstLine="480"/>
        <w:rPr>
          <w:highlight w:val="none"/>
        </w:rPr>
      </w:pPr>
      <w:r>
        <w:rPr>
          <w:rFonts w:hint="eastAsia"/>
          <w:highlight w:val="none"/>
        </w:rPr>
        <w:t>及时向财政、监察等部门举报在评标过程中受到的非法干预情况；</w:t>
      </w:r>
    </w:p>
    <w:p>
      <w:pPr>
        <w:pStyle w:val="41"/>
        <w:numPr>
          <w:ilvl w:val="1"/>
          <w:numId w:val="37"/>
        </w:numPr>
        <w:ind w:firstLine="480"/>
        <w:rPr>
          <w:highlight w:val="none"/>
        </w:rPr>
      </w:pPr>
      <w:r>
        <w:rPr>
          <w:rFonts w:hint="eastAsia"/>
          <w:highlight w:val="none"/>
        </w:rPr>
        <w:t>配合答复处理供应商的询问、质疑和投诉等事项；</w:t>
      </w:r>
    </w:p>
    <w:p>
      <w:pPr>
        <w:pStyle w:val="41"/>
        <w:numPr>
          <w:ilvl w:val="1"/>
          <w:numId w:val="37"/>
        </w:numPr>
        <w:ind w:firstLine="480"/>
        <w:rPr>
          <w:highlight w:val="none"/>
        </w:rPr>
      </w:pPr>
      <w:r>
        <w:rPr>
          <w:rFonts w:hint="eastAsia"/>
          <w:highlight w:val="none"/>
        </w:rPr>
        <w:t>法律、法规和规章规定的其他义务。</w:t>
      </w:r>
    </w:p>
    <w:p>
      <w:pPr>
        <w:pStyle w:val="30"/>
        <w:numPr>
          <w:ilvl w:val="1"/>
          <w:numId w:val="12"/>
        </w:numPr>
        <w:ind w:firstLine="482"/>
        <w:rPr>
          <w:highlight w:val="none"/>
        </w:rPr>
      </w:pPr>
      <w:bookmarkStart w:id="1183" w:name="_Toc7116"/>
      <w:bookmarkStart w:id="1184" w:name="_Toc319440195"/>
      <w:bookmarkStart w:id="1185" w:name="_Toc3688"/>
      <w:bookmarkStart w:id="1186" w:name="_Toc9839"/>
      <w:bookmarkStart w:id="1187" w:name="_Toc22368"/>
      <w:bookmarkStart w:id="1188" w:name="_Toc12088"/>
      <w:bookmarkStart w:id="1189" w:name="_Toc8855"/>
      <w:bookmarkStart w:id="1190" w:name="_Toc4379"/>
      <w:bookmarkStart w:id="1191" w:name="_Toc24913"/>
      <w:bookmarkStart w:id="1192" w:name="_Toc19071"/>
      <w:bookmarkStart w:id="1193" w:name="_Toc327196346"/>
      <w:bookmarkStart w:id="1194" w:name="_Toc27047"/>
      <w:bookmarkStart w:id="1195" w:name="_Toc30872"/>
      <w:bookmarkStart w:id="1196" w:name="_Toc28428"/>
      <w:bookmarkStart w:id="1197" w:name="_Toc1690"/>
      <w:bookmarkStart w:id="1198" w:name="_Toc29759"/>
      <w:r>
        <w:rPr>
          <w:rFonts w:hint="eastAsia"/>
          <w:highlight w:val="none"/>
        </w:rPr>
        <w:t>评标专家在政府采购活动中应当遵守以下工作纪律</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pPr>
        <w:pStyle w:val="41"/>
        <w:numPr>
          <w:ilvl w:val="1"/>
          <w:numId w:val="38"/>
        </w:numPr>
        <w:ind w:firstLine="480"/>
        <w:rPr>
          <w:highlight w:val="none"/>
        </w:rPr>
      </w:pPr>
      <w:bookmarkStart w:id="1199" w:name="_Toc28956"/>
      <w:r>
        <w:rPr>
          <w:rFonts w:hint="eastAsia"/>
          <w:highlight w:val="none"/>
        </w:rPr>
        <w:t>遵行《中华人民共和国政府采购法》第十二条和《中华人民共和国政府采购法实施条例》第九条及财政部关于回避的规定；</w:t>
      </w:r>
    </w:p>
    <w:p>
      <w:pPr>
        <w:pStyle w:val="41"/>
        <w:numPr>
          <w:ilvl w:val="1"/>
          <w:numId w:val="38"/>
        </w:numPr>
        <w:ind w:firstLine="480"/>
        <w:rPr>
          <w:highlight w:val="none"/>
        </w:rPr>
      </w:pPr>
      <w:r>
        <w:rPr>
          <w:rFonts w:hint="eastAsia"/>
          <w:highlight w:val="none"/>
        </w:rPr>
        <w:t>评标前，应当将通讯工具或者相关电子设备交由招标采购单位统一保管；</w:t>
      </w:r>
    </w:p>
    <w:p>
      <w:pPr>
        <w:pStyle w:val="41"/>
        <w:numPr>
          <w:ilvl w:val="1"/>
          <w:numId w:val="38"/>
        </w:numPr>
        <w:ind w:firstLine="480"/>
        <w:rPr>
          <w:highlight w:val="none"/>
        </w:rPr>
      </w:pPr>
      <w:r>
        <w:rPr>
          <w:rFonts w:hint="eastAsia"/>
          <w:highlight w:val="none"/>
        </w:rPr>
        <w:t>评标过程中，不得与外界联系，因发生不可预见情况，确实需要与外界联系的，应当在监督人员监督之下办理；</w:t>
      </w:r>
    </w:p>
    <w:p>
      <w:pPr>
        <w:pStyle w:val="41"/>
        <w:numPr>
          <w:ilvl w:val="1"/>
          <w:numId w:val="38"/>
        </w:numPr>
        <w:ind w:firstLine="480"/>
        <w:rPr>
          <w:highlight w:val="none"/>
        </w:rPr>
      </w:pPr>
      <w:r>
        <w:rPr>
          <w:rFonts w:hint="eastAsia"/>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41"/>
        <w:numPr>
          <w:ilvl w:val="1"/>
          <w:numId w:val="38"/>
        </w:numPr>
        <w:ind w:firstLine="480"/>
        <w:rPr>
          <w:highlight w:val="none"/>
        </w:rPr>
      </w:pPr>
      <w:r>
        <w:rPr>
          <w:rFonts w:hint="eastAsia"/>
          <w:highlight w:val="none"/>
        </w:rPr>
        <w:t>在评标过程中和评标结束后，不得记录、复制或带走任何评标资料，除因规定的义务外，不得向外界透露评标内容；</w:t>
      </w:r>
    </w:p>
    <w:p>
      <w:pPr>
        <w:pStyle w:val="41"/>
        <w:numPr>
          <w:ilvl w:val="1"/>
          <w:numId w:val="38"/>
        </w:numPr>
        <w:ind w:firstLine="480"/>
        <w:rPr>
          <w:highlight w:val="none"/>
        </w:rPr>
      </w:pPr>
      <w:r>
        <w:rPr>
          <w:rFonts w:hint="eastAsia"/>
          <w:highlight w:val="none"/>
        </w:rPr>
        <w:t>服从评标现场招标采购单位的现场秩序管理，接受评标现场监督人员的合法监督；</w:t>
      </w:r>
    </w:p>
    <w:p>
      <w:pPr>
        <w:pStyle w:val="41"/>
        <w:numPr>
          <w:ilvl w:val="1"/>
          <w:numId w:val="38"/>
        </w:numPr>
        <w:ind w:firstLine="480"/>
        <w:rPr>
          <w:highlight w:val="none"/>
        </w:rPr>
      </w:pPr>
      <w:r>
        <w:rPr>
          <w:rFonts w:hint="eastAsia"/>
          <w:highlight w:val="none"/>
        </w:rPr>
        <w:t>遵守有关廉洁自律规定，不得私下接触供应商，不得收受供应商及有关业务单位和个人的财物或好处，不得接受招标采购单位的请托。</w:t>
      </w:r>
    </w:p>
    <w:p>
      <w:pPr>
        <w:pStyle w:val="41"/>
        <w:numPr>
          <w:ilvl w:val="1"/>
          <w:numId w:val="38"/>
        </w:numPr>
        <w:ind w:firstLine="480"/>
        <w:rPr>
          <w:highlight w:val="none"/>
        </w:rPr>
      </w:pPr>
      <w:r>
        <w:rPr>
          <w:rFonts w:hint="eastAsia"/>
          <w:highlight w:val="none"/>
        </w:rPr>
        <w:t>有关部门(机构)制定的其他评审工作纪律。</w:t>
      </w:r>
    </w:p>
    <w:p>
      <w:pPr>
        <w:pStyle w:val="30"/>
        <w:numPr>
          <w:ilvl w:val="1"/>
          <w:numId w:val="12"/>
        </w:numPr>
        <w:ind w:firstLine="482"/>
        <w:rPr>
          <w:highlight w:val="none"/>
        </w:rPr>
      </w:pPr>
      <w:bookmarkStart w:id="1200" w:name="_Toc30239"/>
      <w:bookmarkStart w:id="1201" w:name="_Toc26220"/>
      <w:bookmarkStart w:id="1202" w:name="_Toc27227"/>
      <w:bookmarkStart w:id="1203" w:name="_Toc15770"/>
      <w:bookmarkStart w:id="1204" w:name="_Toc13619"/>
      <w:bookmarkStart w:id="1205" w:name="_Toc8256"/>
      <w:r>
        <w:rPr>
          <w:rFonts w:hint="eastAsia"/>
          <w:highlight w:val="none"/>
        </w:rPr>
        <w:t>评标委员会及其成员不得有下列行为</w:t>
      </w:r>
      <w:bookmarkEnd w:id="1200"/>
      <w:bookmarkEnd w:id="1201"/>
      <w:bookmarkEnd w:id="1202"/>
      <w:bookmarkEnd w:id="1203"/>
      <w:bookmarkEnd w:id="1204"/>
      <w:bookmarkEnd w:id="1205"/>
    </w:p>
    <w:p>
      <w:pPr>
        <w:pStyle w:val="41"/>
        <w:numPr>
          <w:ilvl w:val="1"/>
          <w:numId w:val="39"/>
        </w:numPr>
        <w:ind w:firstLine="480"/>
        <w:rPr>
          <w:highlight w:val="none"/>
        </w:rPr>
      </w:pPr>
      <w:r>
        <w:rPr>
          <w:rFonts w:hint="eastAsia"/>
          <w:highlight w:val="none"/>
        </w:rPr>
        <w:t>确定参与评标至评标结束前私自接触投标人；</w:t>
      </w:r>
    </w:p>
    <w:p>
      <w:pPr>
        <w:pStyle w:val="41"/>
        <w:numPr>
          <w:ilvl w:val="1"/>
          <w:numId w:val="39"/>
        </w:numPr>
        <w:ind w:firstLine="480"/>
        <w:rPr>
          <w:highlight w:val="none"/>
        </w:rPr>
      </w:pPr>
      <w:r>
        <w:rPr>
          <w:rFonts w:hint="eastAsia"/>
          <w:highlight w:val="none"/>
        </w:rPr>
        <w:t>接受投标人提出的与投标文件不一致的澄清或者说明，《政府采购货物和服务招标投标管理办法》(财政部令第87号)第五十一条规定的情形除外；</w:t>
      </w:r>
    </w:p>
    <w:p>
      <w:pPr>
        <w:pStyle w:val="41"/>
        <w:numPr>
          <w:ilvl w:val="1"/>
          <w:numId w:val="39"/>
        </w:numPr>
        <w:ind w:firstLine="480"/>
        <w:rPr>
          <w:highlight w:val="none"/>
        </w:rPr>
      </w:pPr>
      <w:r>
        <w:rPr>
          <w:rFonts w:hint="eastAsia"/>
          <w:highlight w:val="none"/>
        </w:rPr>
        <w:t>违反评标纪律发表倾向性意见或者征询采购人的倾向性意见；</w:t>
      </w:r>
    </w:p>
    <w:p>
      <w:pPr>
        <w:pStyle w:val="41"/>
        <w:numPr>
          <w:ilvl w:val="1"/>
          <w:numId w:val="39"/>
        </w:numPr>
        <w:ind w:firstLine="480"/>
        <w:rPr>
          <w:highlight w:val="none"/>
        </w:rPr>
      </w:pPr>
      <w:r>
        <w:rPr>
          <w:rFonts w:hint="eastAsia"/>
          <w:highlight w:val="none"/>
        </w:rPr>
        <w:t>对需要专业判断的主观评审因素协商评分；</w:t>
      </w:r>
    </w:p>
    <w:p>
      <w:pPr>
        <w:pStyle w:val="41"/>
        <w:numPr>
          <w:ilvl w:val="1"/>
          <w:numId w:val="39"/>
        </w:numPr>
        <w:ind w:firstLine="480"/>
        <w:rPr>
          <w:highlight w:val="none"/>
        </w:rPr>
      </w:pPr>
      <w:r>
        <w:rPr>
          <w:rFonts w:hint="eastAsia"/>
          <w:highlight w:val="none"/>
        </w:rPr>
        <w:t>在评标过程中擅离职守，影响评标程序正常进行的；</w:t>
      </w:r>
    </w:p>
    <w:p>
      <w:pPr>
        <w:pStyle w:val="41"/>
        <w:numPr>
          <w:ilvl w:val="1"/>
          <w:numId w:val="39"/>
        </w:numPr>
        <w:ind w:firstLine="480"/>
        <w:rPr>
          <w:highlight w:val="none"/>
        </w:rPr>
      </w:pPr>
      <w:r>
        <w:rPr>
          <w:rFonts w:hint="eastAsia"/>
          <w:highlight w:val="none"/>
        </w:rPr>
        <w:t>记录、复制或者带走任何评标资料；</w:t>
      </w:r>
    </w:p>
    <w:p>
      <w:pPr>
        <w:pStyle w:val="41"/>
        <w:numPr>
          <w:ilvl w:val="1"/>
          <w:numId w:val="39"/>
        </w:numPr>
        <w:ind w:firstLine="480"/>
        <w:rPr>
          <w:highlight w:val="none"/>
        </w:rPr>
      </w:pPr>
      <w:r>
        <w:rPr>
          <w:rFonts w:hint="eastAsia"/>
          <w:highlight w:val="none"/>
        </w:rPr>
        <w:t>其他不遵守评标纪律的行为。</w:t>
      </w:r>
    </w:p>
    <w:p>
      <w:pPr>
        <w:pStyle w:val="33"/>
        <w:rPr>
          <w:highlight w:val="none"/>
        </w:rPr>
      </w:pPr>
      <w:r>
        <w:rPr>
          <w:rFonts w:hint="eastAsia"/>
          <w:highlight w:val="none"/>
        </w:rPr>
        <w:t>评标委员会成员有前款第一至五项行为之一的，其评审意见无效，并不得获取评审劳务报酬和报销异地评审差旅费。</w:t>
      </w:r>
    </w:p>
    <w:p>
      <w:pPr>
        <w:pStyle w:val="30"/>
        <w:numPr>
          <w:ilvl w:val="1"/>
          <w:numId w:val="12"/>
        </w:numPr>
        <w:ind w:firstLine="482"/>
        <w:rPr>
          <w:highlight w:val="none"/>
        </w:rPr>
      </w:pPr>
      <w:bookmarkStart w:id="1206" w:name="_Toc13225"/>
      <w:bookmarkStart w:id="1207" w:name="_Toc43"/>
      <w:bookmarkStart w:id="1208" w:name="_Toc27850"/>
      <w:bookmarkStart w:id="1209" w:name="_Toc4122"/>
      <w:r>
        <w:rPr>
          <w:rFonts w:hint="eastAsia"/>
          <w:highlight w:val="none"/>
        </w:rPr>
        <w:t>评标委员会及其成员不得有下列违约情形</w:t>
      </w:r>
      <w:bookmarkEnd w:id="1206"/>
      <w:bookmarkEnd w:id="1207"/>
      <w:bookmarkEnd w:id="1208"/>
      <w:bookmarkEnd w:id="1209"/>
    </w:p>
    <w:p>
      <w:pPr>
        <w:pStyle w:val="41"/>
        <w:numPr>
          <w:ilvl w:val="1"/>
          <w:numId w:val="40"/>
        </w:numPr>
        <w:ind w:firstLine="480"/>
        <w:rPr>
          <w:highlight w:val="none"/>
        </w:rPr>
      </w:pPr>
      <w:r>
        <w:rPr>
          <w:rFonts w:hint="eastAsia"/>
          <w:highlight w:val="none"/>
        </w:rPr>
        <w:t>答应参加评审活动后，无正当理由不参加或者迟到，且不及时告知抽取终端工作人员，导致评审活动无法正常进行的；</w:t>
      </w:r>
    </w:p>
    <w:p>
      <w:pPr>
        <w:pStyle w:val="41"/>
        <w:numPr>
          <w:ilvl w:val="1"/>
          <w:numId w:val="40"/>
        </w:numPr>
        <w:ind w:firstLine="480"/>
        <w:rPr>
          <w:highlight w:val="none"/>
        </w:rPr>
      </w:pPr>
      <w:r>
        <w:rPr>
          <w:rFonts w:hint="eastAsia"/>
          <w:highlight w:val="none"/>
        </w:rPr>
        <w:t>不遵守评审现场工作纪律的；</w:t>
      </w:r>
    </w:p>
    <w:p>
      <w:pPr>
        <w:pStyle w:val="41"/>
        <w:numPr>
          <w:ilvl w:val="1"/>
          <w:numId w:val="40"/>
        </w:numPr>
        <w:ind w:firstLine="480"/>
        <w:rPr>
          <w:highlight w:val="none"/>
        </w:rPr>
      </w:pPr>
      <w:r>
        <w:rPr>
          <w:rFonts w:hint="eastAsia"/>
          <w:highlight w:val="none"/>
        </w:rPr>
        <w:t>明显故意拖延评审时间的；</w:t>
      </w:r>
    </w:p>
    <w:p>
      <w:pPr>
        <w:pStyle w:val="41"/>
        <w:numPr>
          <w:ilvl w:val="1"/>
          <w:numId w:val="40"/>
        </w:numPr>
        <w:ind w:firstLine="480"/>
        <w:rPr>
          <w:highlight w:val="none"/>
        </w:rPr>
      </w:pPr>
      <w:r>
        <w:rPr>
          <w:rFonts w:hint="eastAsia"/>
          <w:highlight w:val="none"/>
        </w:rPr>
        <w:t>抄袭其他评审委员会成员的评审意见的；</w:t>
      </w:r>
    </w:p>
    <w:p>
      <w:pPr>
        <w:pStyle w:val="41"/>
        <w:numPr>
          <w:ilvl w:val="1"/>
          <w:numId w:val="40"/>
        </w:numPr>
        <w:ind w:firstLine="480"/>
        <w:rPr>
          <w:highlight w:val="none"/>
        </w:rPr>
      </w:pPr>
      <w:r>
        <w:rPr>
          <w:rFonts w:hint="eastAsia"/>
          <w:highlight w:val="none"/>
        </w:rPr>
        <w:t>不按照政府采购法律制度和采购文件的规定进行评审，导致评审过程、评审结果违法违规，情节轻微不构成行政处罚的；</w:t>
      </w:r>
    </w:p>
    <w:p>
      <w:pPr>
        <w:pStyle w:val="41"/>
        <w:numPr>
          <w:ilvl w:val="1"/>
          <w:numId w:val="40"/>
        </w:numPr>
        <w:ind w:firstLine="480"/>
        <w:rPr>
          <w:highlight w:val="none"/>
        </w:rPr>
      </w:pPr>
      <w:r>
        <w:rPr>
          <w:rFonts w:hint="eastAsia"/>
          <w:highlight w:val="none"/>
        </w:rPr>
        <w:t>索取高于规定的劳务报酬，或者要求先给付报酬再进行评审，或者因劳务报酬低而拒绝评审、拒绝签署评审报告的；</w:t>
      </w:r>
    </w:p>
    <w:p>
      <w:pPr>
        <w:pStyle w:val="41"/>
        <w:numPr>
          <w:ilvl w:val="1"/>
          <w:numId w:val="40"/>
        </w:numPr>
        <w:ind w:firstLine="480"/>
        <w:rPr>
          <w:highlight w:val="none"/>
        </w:rPr>
      </w:pPr>
      <w:r>
        <w:rPr>
          <w:rFonts w:hint="eastAsia"/>
          <w:highlight w:val="none"/>
        </w:rPr>
        <w:t>不按照《四川省政府采购评审专家管理实施办法》的规定记录或者反馈采购人或者采购代理机构的职责履行情况的；</w:t>
      </w:r>
    </w:p>
    <w:p>
      <w:pPr>
        <w:pStyle w:val="41"/>
        <w:numPr>
          <w:ilvl w:val="1"/>
          <w:numId w:val="40"/>
        </w:numPr>
        <w:ind w:firstLine="480"/>
        <w:rPr>
          <w:highlight w:val="none"/>
        </w:rPr>
      </w:pPr>
      <w:r>
        <w:rPr>
          <w:rFonts w:hint="eastAsia"/>
          <w:highlight w:val="none"/>
        </w:rPr>
        <w:t>存在其他违反政府采购法规制度，但不构成行政处罚行为的。</w:t>
      </w:r>
    </w:p>
    <w:p>
      <w:pPr>
        <w:pStyle w:val="29"/>
        <w:rPr>
          <w:highlight w:val="none"/>
        </w:rPr>
      </w:pPr>
    </w:p>
    <w:p>
      <w:pPr>
        <w:pStyle w:val="28"/>
        <w:numPr>
          <w:ilvl w:val="0"/>
          <w:numId w:val="12"/>
        </w:numPr>
        <w:spacing w:before="120" w:after="120"/>
        <w:rPr>
          <w:highlight w:val="none"/>
        </w:rPr>
      </w:pPr>
      <w:r>
        <w:rPr>
          <w:rFonts w:hint="eastAsia"/>
          <w:highlight w:val="none"/>
        </w:rPr>
        <w:br w:type="page"/>
      </w:r>
      <w:bookmarkEnd w:id="1199"/>
      <w:bookmarkStart w:id="1210" w:name="_Toc229"/>
      <w:bookmarkStart w:id="1211" w:name="_Toc18908"/>
      <w:bookmarkStart w:id="1212" w:name="_Toc13264"/>
      <w:bookmarkStart w:id="1213" w:name="_Toc7547"/>
      <w:bookmarkStart w:id="1214" w:name="_Toc27456"/>
      <w:r>
        <w:rPr>
          <w:rFonts w:hint="eastAsia"/>
          <w:highlight w:val="none"/>
        </w:rPr>
        <w:t>政府采购合同</w:t>
      </w:r>
      <w:bookmarkEnd w:id="1210"/>
      <w:bookmarkEnd w:id="1211"/>
      <w:bookmarkEnd w:id="1212"/>
      <w:bookmarkEnd w:id="1213"/>
      <w:r>
        <w:rPr>
          <w:rFonts w:hint="eastAsia"/>
          <w:highlight w:val="none"/>
        </w:rPr>
        <w:t>(参考文本)</w:t>
      </w:r>
      <w:bookmarkEnd w:id="1214"/>
    </w:p>
    <w:p>
      <w:pPr>
        <w:adjustRightInd/>
        <w:snapToGrid/>
        <w:jc w:val="center"/>
        <w:rPr>
          <w:rFonts w:cs="宋体"/>
          <w:b/>
          <w:bCs/>
          <w:highlight w:val="none"/>
        </w:rPr>
      </w:pPr>
      <w:bookmarkStart w:id="1215" w:name="_Hlk72999587"/>
      <w:r>
        <w:rPr>
          <w:rFonts w:hint="eastAsia" w:cs="宋体"/>
          <w:b/>
          <w:bCs/>
          <w:highlight w:val="none"/>
        </w:rPr>
        <w:t>成都市技师学院(成都工贸职业技术学院)城市轨道交通信号工正线联锁实训设备采购项目合同文本主要条款</w:t>
      </w:r>
    </w:p>
    <w:p>
      <w:pPr>
        <w:adjustRightInd/>
        <w:snapToGrid/>
        <w:ind w:firstLine="482" w:firstLineChars="200"/>
        <w:jc w:val="both"/>
        <w:rPr>
          <w:rFonts w:cs="宋体"/>
          <w:b/>
          <w:bCs/>
          <w:highlight w:val="none"/>
        </w:rPr>
      </w:pPr>
      <w:r>
        <w:rPr>
          <w:rFonts w:hint="eastAsia" w:cs="宋体"/>
          <w:b/>
          <w:bCs/>
          <w:highlight w:val="none"/>
        </w:rPr>
        <w:t>(重要说明：采购人、投标人在签订正式合同前应依据本项目的招标文件、投标文件等对以下合同内容进行修正和完善)。</w:t>
      </w:r>
    </w:p>
    <w:p>
      <w:pPr>
        <w:adjustRightInd/>
        <w:snapToGrid/>
        <w:ind w:firstLine="482" w:firstLineChars="200"/>
        <w:jc w:val="both"/>
        <w:rPr>
          <w:rFonts w:cs="宋体"/>
          <w:b/>
          <w:bCs/>
          <w:highlight w:val="none"/>
        </w:rPr>
      </w:pPr>
    </w:p>
    <w:p>
      <w:pPr>
        <w:topLinePunct/>
        <w:adjustRightInd/>
        <w:snapToGrid/>
        <w:ind w:firstLine="480" w:firstLineChars="200"/>
        <w:jc w:val="both"/>
        <w:rPr>
          <w:rFonts w:cs="宋体"/>
          <w:highlight w:val="none"/>
        </w:rPr>
      </w:pPr>
      <w:r>
        <w:rPr>
          <w:rFonts w:hint="eastAsia" w:cs="宋体"/>
          <w:highlight w:val="none"/>
        </w:rPr>
        <w:t>合同编号：</w:t>
      </w:r>
    </w:p>
    <w:p>
      <w:pPr>
        <w:topLinePunct/>
        <w:adjustRightInd/>
        <w:snapToGrid/>
        <w:ind w:firstLine="480" w:firstLineChars="200"/>
        <w:jc w:val="both"/>
        <w:rPr>
          <w:rFonts w:cs="宋体"/>
          <w:highlight w:val="none"/>
        </w:rPr>
      </w:pPr>
      <w:r>
        <w:rPr>
          <w:rFonts w:hint="eastAsia" w:cs="宋体"/>
          <w:highlight w:val="none"/>
        </w:rPr>
        <w:t>签订地点：成都市郫都区红光街道港通北三路1899号</w:t>
      </w:r>
    </w:p>
    <w:p>
      <w:pPr>
        <w:topLinePunct/>
        <w:adjustRightInd/>
        <w:snapToGrid/>
        <w:ind w:firstLine="480" w:firstLineChars="200"/>
        <w:jc w:val="both"/>
        <w:rPr>
          <w:rFonts w:cs="宋体"/>
          <w:highlight w:val="none"/>
        </w:rPr>
      </w:pPr>
      <w:r>
        <w:rPr>
          <w:rFonts w:hint="eastAsia" w:cs="宋体"/>
          <w:highlight w:val="none"/>
        </w:rPr>
        <w:t>签订时间：</w:t>
      </w:r>
    </w:p>
    <w:p>
      <w:pPr>
        <w:topLinePunct/>
        <w:adjustRightInd/>
        <w:snapToGrid/>
        <w:ind w:firstLine="480" w:firstLineChars="200"/>
        <w:jc w:val="both"/>
        <w:rPr>
          <w:rFonts w:cs="宋体"/>
          <w:highlight w:val="none"/>
        </w:rPr>
      </w:pPr>
      <w:r>
        <w:rPr>
          <w:rFonts w:hint="eastAsia" w:cs="宋体"/>
          <w:highlight w:val="none"/>
        </w:rPr>
        <w:t xml:space="preserve">甲方(采购人)：成都市技师学院  </w:t>
      </w:r>
    </w:p>
    <w:p>
      <w:pPr>
        <w:topLinePunct/>
        <w:adjustRightInd/>
        <w:snapToGrid/>
        <w:ind w:firstLine="480" w:firstLineChars="200"/>
        <w:jc w:val="both"/>
        <w:rPr>
          <w:rFonts w:cs="宋体"/>
          <w:highlight w:val="none"/>
        </w:rPr>
      </w:pPr>
      <w:r>
        <w:rPr>
          <w:rFonts w:hint="eastAsia" w:cs="宋体"/>
          <w:highlight w:val="none"/>
        </w:rPr>
        <w:t xml:space="preserve">乙方(投标人)：    </w:t>
      </w:r>
    </w:p>
    <w:p>
      <w:pPr>
        <w:adjustRightInd/>
        <w:snapToGrid/>
        <w:ind w:firstLine="482" w:firstLineChars="200"/>
        <w:jc w:val="both"/>
        <w:rPr>
          <w:rFonts w:cs="宋体"/>
          <w:highlight w:val="none"/>
        </w:rPr>
      </w:pPr>
      <w:bookmarkStart w:id="1216" w:name="_Toc3039"/>
      <w:bookmarkStart w:id="1217" w:name="_Toc31384"/>
      <w:r>
        <w:rPr>
          <w:rFonts w:hint="eastAsia"/>
          <w:b/>
          <w:bCs/>
          <w:highlight w:val="none"/>
        </w:rPr>
        <w:t>合同类型：买卖合同</w:t>
      </w:r>
    </w:p>
    <w:p>
      <w:pPr>
        <w:adjustRightInd/>
        <w:snapToGrid/>
        <w:ind w:firstLine="480" w:firstLineChars="200"/>
        <w:jc w:val="both"/>
        <w:rPr>
          <w:rFonts w:cs="宋体"/>
          <w:highlight w:val="none"/>
        </w:rPr>
      </w:pPr>
    </w:p>
    <w:p>
      <w:pPr>
        <w:adjustRightInd/>
        <w:snapToGrid/>
        <w:ind w:firstLine="480" w:firstLineChars="200"/>
        <w:jc w:val="both"/>
        <w:rPr>
          <w:rFonts w:cs="宋体"/>
          <w:highlight w:val="none"/>
        </w:rPr>
      </w:pPr>
      <w:r>
        <w:rPr>
          <w:rFonts w:hint="eastAsia" w:cs="宋体"/>
          <w:highlight w:val="none"/>
        </w:rPr>
        <w:t>根据《中华人民共和国政府采购法》《中华人民共和国民法典》及成都市技师学院</w:t>
      </w:r>
      <w:r>
        <w:rPr>
          <w:rFonts w:hint="eastAsia" w:cs="宋体"/>
          <w:color w:val="FF0000"/>
          <w:highlight w:val="none"/>
        </w:rPr>
        <w:t>(成都工贸职业技术学院)城市轨道交通信号工正线联锁实训设备</w:t>
      </w:r>
      <w:r>
        <w:rPr>
          <w:rFonts w:hint="eastAsia" w:cs="宋体"/>
          <w:highlight w:val="none"/>
        </w:rPr>
        <w:t>采购项目(项目编号：</w:t>
      </w:r>
      <w:r>
        <w:rPr>
          <w:rFonts w:cs="宋体"/>
          <w:color w:val="FF0000"/>
          <w:highlight w:val="none"/>
        </w:rPr>
        <w:t>XXXX</w:t>
      </w:r>
      <w:r>
        <w:rPr>
          <w:rFonts w:hint="eastAsia" w:cs="宋体"/>
          <w:highlight w:val="none"/>
        </w:rPr>
        <w:t>)的招标文件、乙方的投标文件及中标通知书，甲、乙双方同意签订本合同，共同遵守如下条款：</w:t>
      </w:r>
    </w:p>
    <w:p>
      <w:pPr>
        <w:adjustRightInd/>
        <w:snapToGrid/>
        <w:ind w:firstLine="482" w:firstLineChars="200"/>
        <w:jc w:val="both"/>
        <w:rPr>
          <w:rFonts w:cs="宋体"/>
          <w:b/>
          <w:bCs/>
          <w:highlight w:val="none"/>
        </w:rPr>
      </w:pPr>
      <w:bookmarkStart w:id="1218" w:name="_Toc28089"/>
      <w:r>
        <w:rPr>
          <w:rFonts w:hint="eastAsia" w:cs="宋体"/>
          <w:b/>
          <w:bCs/>
          <w:highlight w:val="none"/>
        </w:rPr>
        <w:t>一、项目基本情况</w:t>
      </w:r>
      <w:bookmarkEnd w:id="1218"/>
    </w:p>
    <w:p>
      <w:pPr>
        <w:adjustRightInd/>
        <w:snapToGrid/>
        <w:ind w:firstLine="480" w:firstLineChars="200"/>
        <w:jc w:val="both"/>
        <w:rPr>
          <w:rFonts w:cs="宋体"/>
          <w:highlight w:val="none"/>
        </w:rPr>
      </w:pPr>
      <w:r>
        <w:rPr>
          <w:rFonts w:hint="eastAsia" w:cs="宋体"/>
          <w:highlight w:val="none"/>
        </w:rPr>
        <w:t>依据城市轨道交通通信信号技术专业建设需求，采购城市轨道交通信号工正线联锁实训设备一批，包含正线联锁控制柜、正线继电器组合架、屏蔽门系统及就地控制盘、车厢系统、轨道平台系统、正线操作系统控制台、城市轨道交通信号工技术智能培训考核软件、综合布线。</w:t>
      </w:r>
    </w:p>
    <w:p>
      <w:pPr>
        <w:adjustRightInd/>
        <w:snapToGrid/>
        <w:ind w:firstLine="482" w:firstLineChars="200"/>
        <w:jc w:val="both"/>
        <w:rPr>
          <w:rFonts w:cs="宋体"/>
          <w:b/>
          <w:bCs/>
          <w:highlight w:val="none"/>
        </w:rPr>
      </w:pPr>
      <w:r>
        <w:rPr>
          <w:rFonts w:hint="eastAsia" w:cs="宋体"/>
          <w:b/>
          <w:bCs/>
          <w:highlight w:val="none"/>
        </w:rPr>
        <w:t>二、合同标的</w:t>
      </w:r>
    </w:p>
    <w:p>
      <w:pPr>
        <w:adjustRightInd/>
        <w:snapToGrid/>
        <w:ind w:firstLine="480" w:firstLineChars="200"/>
        <w:jc w:val="both"/>
        <w:rPr>
          <w:rFonts w:cs="宋体"/>
          <w:highlight w:val="none"/>
        </w:rPr>
      </w:pPr>
      <w:r>
        <w:rPr>
          <w:rFonts w:hint="eastAsia" w:cs="宋体"/>
          <w:highlight w:val="none"/>
        </w:rPr>
        <w:t>1.合同标的明细</w:t>
      </w:r>
    </w:p>
    <w:tbl>
      <w:tblPr>
        <w:tblStyle w:val="22"/>
        <w:tblW w:w="498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729"/>
        <w:gridCol w:w="1091"/>
        <w:gridCol w:w="1119"/>
        <w:gridCol w:w="708"/>
        <w:gridCol w:w="677"/>
        <w:gridCol w:w="871"/>
        <w:gridCol w:w="814"/>
        <w:gridCol w:w="992"/>
        <w:gridCol w:w="9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bookmarkStart w:id="1219" w:name="_Toc26626"/>
            <w:r>
              <w:rPr>
                <w:rFonts w:hint="eastAsia" w:cs="宋体"/>
                <w:b/>
                <w:bCs/>
                <w:sz w:val="21"/>
                <w:szCs w:val="21"/>
                <w:highlight w:val="none"/>
              </w:rPr>
              <w:t>货物名称</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制造商或品牌</w:t>
            </w: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规格型号</w:t>
            </w: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单位</w:t>
            </w: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数量</w:t>
            </w: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单价(元)</w:t>
            </w: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总价(元)</w:t>
            </w: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产地</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b/>
                <w:bCs/>
                <w:sz w:val="21"/>
                <w:szCs w:val="21"/>
                <w:highlight w:val="none"/>
              </w:rPr>
            </w:pPr>
            <w:r>
              <w:rPr>
                <w:rFonts w:hint="eastAsia"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正线联锁控制柜</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正线继电器组合架</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屏蔽门系统及就地控制盘</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车厢系统</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轨道平台系统</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正线操作系统控制台</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75"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r>
              <w:rPr>
                <w:rFonts w:hint="eastAsia" w:cs="宋体"/>
                <w:sz w:val="21"/>
                <w:szCs w:val="21"/>
                <w:highlight w:val="none"/>
              </w:rPr>
              <w:t>城市轨道交通信号工技术智能培训考核软件</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64"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57"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34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39"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rPr>
                <w:rFonts w:cs="宋体"/>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snapToGrid/>
              <w:spacing w:line="320" w:lineRule="exact"/>
              <w:jc w:val="center"/>
              <w:outlineLvl w:val="1"/>
              <w:rPr>
                <w:rFonts w:cs="宋体"/>
                <w:sz w:val="21"/>
                <w:szCs w:val="21"/>
                <w:highlight w:val="none"/>
              </w:rPr>
            </w:pPr>
          </w:p>
        </w:tc>
      </w:tr>
    </w:tbl>
    <w:p>
      <w:pPr>
        <w:numPr>
          <w:ilvl w:val="0"/>
          <w:numId w:val="41"/>
        </w:numPr>
        <w:tabs>
          <w:tab w:val="clear" w:pos="312"/>
        </w:tabs>
        <w:adjustRightInd/>
        <w:snapToGrid/>
        <w:ind w:firstLine="480" w:firstLineChars="200"/>
        <w:jc w:val="both"/>
        <w:rPr>
          <w:rFonts w:cs="宋体"/>
          <w:highlight w:val="none"/>
        </w:rPr>
      </w:pPr>
      <w:r>
        <w:rPr>
          <w:rFonts w:hint="eastAsia" w:cs="宋体"/>
          <w:highlight w:val="none"/>
        </w:rPr>
        <w:t>合同标的技术参数明细</w:t>
      </w:r>
    </w:p>
    <w:p>
      <w:pPr>
        <w:adjustRightInd/>
        <w:snapToGrid/>
        <w:ind w:firstLine="480" w:firstLineChars="200"/>
        <w:jc w:val="both"/>
        <w:rPr>
          <w:rFonts w:cs="宋体"/>
          <w:highlight w:val="none"/>
        </w:rPr>
      </w:pPr>
      <w:r>
        <w:rPr>
          <w:rFonts w:hint="eastAsia" w:cs="宋体"/>
          <w:highlight w:val="none"/>
        </w:rPr>
        <w:t>XXX</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三、履约时间和方式</w:t>
      </w:r>
    </w:p>
    <w:bookmarkEnd w:id="1219"/>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1.供货时间及方式：合同签订之日起</w:t>
      </w:r>
      <w:r>
        <w:rPr>
          <w:rFonts w:hint="eastAsia" w:cs="宋体"/>
          <w:color w:val="FF0000"/>
          <w:highlight w:val="none"/>
        </w:rPr>
        <w:t>30个</w:t>
      </w:r>
      <w:r>
        <w:rPr>
          <w:rFonts w:hint="eastAsia" w:cs="宋体"/>
          <w:highlight w:val="none"/>
        </w:rPr>
        <w:t>日历天内(含法定节假日、试运行), 乙方在甲方指定地点完成设备送货、安装、调试、试运行工作。</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2.售后服务时间：乙方提供</w:t>
      </w:r>
      <w:r>
        <w:rPr>
          <w:rFonts w:hint="eastAsia" w:cs="宋体"/>
          <w:color w:val="FF0000"/>
          <w:highlight w:val="none"/>
        </w:rPr>
        <w:t>3</w:t>
      </w:r>
      <w:r>
        <w:rPr>
          <w:rFonts w:hint="eastAsia" w:cs="宋体"/>
          <w:highlight w:val="none"/>
        </w:rPr>
        <w:t>年的售后服务，售后服务期的起始日期为甲方设备验收合格之日起开始计算。</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highlight w:val="none"/>
        </w:rPr>
      </w:pPr>
      <w:r>
        <w:rPr>
          <w:rFonts w:hint="eastAsia" w:cs="宋体"/>
          <w:b/>
          <w:bCs/>
          <w:highlight w:val="none"/>
        </w:rPr>
        <w:t>四、履约地点：</w:t>
      </w:r>
      <w:r>
        <w:rPr>
          <w:rFonts w:hint="eastAsia" w:cs="宋体"/>
          <w:highlight w:val="none"/>
        </w:rPr>
        <w:t>四川省成都市郫都区红光街道港通北三路1899号</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五、合同总价、付款安排、支付方式</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1.合同总价为人民币大写：</w:t>
      </w:r>
      <w:r>
        <w:rPr>
          <w:rFonts w:hint="eastAsia" w:cs="宋体"/>
          <w:snapToGrid w:val="0"/>
          <w:highlight w:val="none"/>
          <w:u w:val="single"/>
        </w:rPr>
        <w:t>XX</w:t>
      </w:r>
      <w:r>
        <w:rPr>
          <w:rFonts w:hint="eastAsia" w:cs="宋体"/>
          <w:snapToGrid w:val="0"/>
          <w:highlight w:val="none"/>
        </w:rPr>
        <w:t>元整，即￥</w:t>
      </w:r>
      <w:r>
        <w:rPr>
          <w:rFonts w:hint="eastAsia" w:cs="宋体"/>
          <w:snapToGrid w:val="0"/>
          <w:highlight w:val="none"/>
          <w:u w:val="single"/>
        </w:rPr>
        <w:t>XX</w:t>
      </w:r>
      <w:r>
        <w:rPr>
          <w:rFonts w:hint="eastAsia" w:cs="宋体"/>
          <w:snapToGrid w:val="0"/>
          <w:highlight w:val="none"/>
        </w:rPr>
        <w:t>元整；该合同总价为固定包干价，包括但不限于设备的供货、包装、运输、安装、调试、培训、利润、售后服务、税费等与完成本项目有关的所有费用。本合同执行期间合同总价不变，甲方无须另向乙方支付本合同规定之外的其他任何费用。</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合同支付方式为分三次向银行转账支付：(1)合同签订后，甲方收到乙方提供的符合甲方财务要求且合法有效完整的等额完税发票之日起30个日历天内，甲方支付合同总金额的百分之二十的合同款。(2)乙方将货物运输到甲方指定地点，安装、调试完毕且经甲方初验合格后，甲方收到乙方提供的符合甲方财务要求且合法有效完整的等额完税发票之日起30个日历天内甲方支付合同总金额的百分之五十的合同款；如甲方收到发票之日早于货物初验收合格之日， 则自货物初验收合格之日起30天内支付。(3)试运行10个日历天内无质量问题且经过甲方终验收合格后，在收到乙方提供的符合甲方财务要求且合法有效完整的等额完税发票之日起30个日历天内支付合同总金额的百分之三十的合同款；如甲方收到发票之日早于货物终验收合格之日，则自货物终验收合格之日起30天内支付。</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bookmarkStart w:id="1220" w:name="_Toc19079"/>
      <w:r>
        <w:rPr>
          <w:rFonts w:hint="eastAsia" w:cs="宋体"/>
          <w:snapToGrid w:val="0"/>
          <w:highlight w:val="none"/>
        </w:rPr>
        <w:t>3.乙方未提供增值税发票(专票或普票)，或发票经国税网验审不合格的，或者乙方提供的发票不满足甲方财务要求的，甲方有权拒付，且不承担逾期付款的责任。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4.乙方保证提供的银行账户信息真实有效，如果乙方账户信息更改，需要在甲方付款前10</w:t>
      </w:r>
      <w:r>
        <w:rPr>
          <w:rFonts w:hint="eastAsia" w:cs="宋体"/>
          <w:highlight w:val="none"/>
        </w:rPr>
        <w:t>个日历天</w:t>
      </w:r>
      <w:r>
        <w:rPr>
          <w:rFonts w:hint="eastAsia" w:cs="宋体"/>
          <w:snapToGrid w:val="0"/>
          <w:highlight w:val="none"/>
        </w:rPr>
        <w:t>内告知甲方，若因乙方原因导致甲方无法付款或错误付款，后果由乙方自行承担。</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六、质量及供货渠道要求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1.乙方应保证货物(含零部件、配件等)是全新、未使用过的原装合格正品，表面无划伤、无碰撞痕迹，货物权属清楚且满足甲方使用需求，不得侵害他人的知识产权。</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提供的货物须国家(行业)标准以及甲方的招标文件和乙方的响应文件规定的质量和规格的要求。若乙方提供的产品的质量或规格与招标文件和乙方的响应文件不符，或证实产品是有缺陷的，包括潜在的缺陷或使用不符合要求的产品等，乙方应在接到甲方书面通知后15个日历天内完成换货，因换货产生的费用由乙方承担，如因不合格产品给甲方造成损失，乙方还应承担赔偿责任。</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七、包装(方式)、运输要求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2.采用木箱包装，每一包装单元内应附详细的装箱单和质量合格凭证。</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八、安装调试要求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1.乙方将设备运达甲方指定地点后按照甲方确定的方案进行安装、调试等工作。</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2.乙方严格按照国家相关规范进行安装和调试。</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3.乙方需确保采购清单中的1至8项安装调试后能实现城市轨道交通正线信号系统的联锁关系。</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九、售后服务及要求</w:t>
      </w:r>
    </w:p>
    <w:bookmarkEnd w:id="1220"/>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1" w:name="_Toc11800"/>
      <w:r>
        <w:rPr>
          <w:rFonts w:hint="eastAsia" w:cs="宋体"/>
          <w:snapToGrid w:val="0"/>
          <w:highlight w:val="none"/>
        </w:rPr>
        <w:t>1.售后服务分电话(含网络)服务和上门服务。售后服务期内，乙方在接到甲方故障报修后能在2小时内通过电话(含网络)服务排除故障的，则无需上门服务。若在规定时间内不能通过电话(含网络)服务排除故障的，乙方应在故障报修后的12小时内到达现场，到达现场后24小时内排除故障(若涉及主要设备更换或者返厂维修的故障排除时间由双方协商确定)。</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2.售后服务期内，乙方二次维修都不能达到正常使用需求的，乙方提供免费更换服务。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3.售后服务范围包含所有设备以及相关的辅材等的维护和更换。</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4.售后服务期内涉及的人工、设备(含辅材)维护和更换、软件的维护和升级等费用均由乙方承担。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乙方提供2次现场培训，每次时间不少于3天，包括设备和软件的安装、调试、维护、使用，确保甲方完全掌握设备和软件的各项功能。乙方为所有参加培训人员提供文字资料和讲义等培训教材，培训教材以印刷品形式提供，费用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6.售后服务期内乙方应为本项目所有设备以及软件提供巡检服务，自设备验收合格之日起，每间隔6月巡检一次，且每次巡检结束后5个工作日内提供每套设备的详细巡检情况记录并加盖单位公章。</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十、人员配置要求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乙方应为本项目配置的服务团队</w:t>
      </w:r>
      <w:r>
        <w:rPr>
          <w:rFonts w:hint="eastAsia" w:cs="宋体"/>
          <w:snapToGrid w:val="0"/>
          <w:highlight w:val="none"/>
          <w:u w:val="single"/>
          <w:lang w:val="en-US" w:eastAsia="zh-CN"/>
        </w:rPr>
        <w:t xml:space="preserve">   </w:t>
      </w:r>
      <w:r>
        <w:rPr>
          <w:rFonts w:hint="eastAsia" w:cs="宋体"/>
          <w:snapToGrid w:val="0"/>
          <w:highlight w:val="none"/>
        </w:rPr>
        <w:t>人，其中</w:t>
      </w:r>
      <w:r>
        <w:rPr>
          <w:rFonts w:hint="eastAsia" w:cs="宋体"/>
          <w:snapToGrid w:val="0"/>
          <w:highlight w:val="none"/>
          <w:u w:val="single"/>
          <w:lang w:val="en-US" w:eastAsia="zh-CN"/>
        </w:rPr>
        <w:t xml:space="preserve">   </w:t>
      </w:r>
      <w:r>
        <w:rPr>
          <w:rFonts w:hint="eastAsia" w:cs="宋体"/>
          <w:snapToGrid w:val="0"/>
          <w:highlight w:val="none"/>
        </w:rPr>
        <w:t>具有城市轨道交通通信信号技术相关专业且取得中级及以上信号工证书。</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十一、其他商务要求</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 xml:space="preserve"> 1.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2.项目实施过程中乙方应对甲方原场地、设施进行有效保护，如有损坏的应负责修复，无法修复的设施设备，乙方应免费更换全新的设施设备，并对造成的损失进行赔偿。</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十二、双方的权利和义务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(一)甲方的权利和义务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1.甲方有权对合同规定范围内乙方提供的产品及服务行为进行监督和检查，拥有监管权。有权核对乙方提供产品及服务质量。对甲方认为质量不合格的货物有权下达整改通知书，并要求乙方限期修理及更换。</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2.负责检查监督乙方提供货物及服务的实施的执行情况。</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3.根据本合同规定，按时向乙方支付应付服务费用。</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4.国家法律、法规所规定由甲方承担的其它责任。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(二)乙方的权利和义务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1.对本合同规定的委托事项范围内的项目享有管理权及承担服务义务。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2.根据本合同的规定向甲方收取相关费用。</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3.及时向甲方通告本项目实施相关重大事项，及时配合处理售后。</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4.接受项目行业管理部门及政府有关部门的指导，接受甲方的监督。</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5.履行本合同的全部安全责任均由乙方承担，甲方对此不承担任何责任。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6.国家法律、法规所规定由乙方承担的其它责任。</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十三、履约保证金要求</w:t>
      </w:r>
      <w:bookmarkEnd w:id="1221"/>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1.履约保证金为人民币(大写)</w:t>
      </w:r>
      <w:r>
        <w:rPr>
          <w:rFonts w:hint="eastAsia" w:cs="宋体"/>
          <w:snapToGrid w:val="0"/>
          <w:highlight w:val="none"/>
          <w:u w:val="single"/>
        </w:rPr>
        <w:t>XX元整(</w:t>
      </w:r>
      <w:r>
        <w:rPr>
          <w:rFonts w:hint="eastAsia" w:cs="宋体"/>
          <w:snapToGrid w:val="0"/>
          <w:highlight w:val="none"/>
        </w:rPr>
        <w:t>合同金额的百分之五)，乙方应在中标通知书发出之日起至合同签订前以银行转账、支票、汇票、本票或者金融机构、担保机构出具的保函等非现金形式向甲方提交履约保证金。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履行合同约定(含售后服务)完毕后,无质量问题和违约责任情况，乙方凭“验收报告单”、“收到退还履约保证金的收据”、“履约保证金退还申请”到甲方计财处办理，无息退还。甲方收到乙方提交的履约保证金退还申请等资料并经甲方审核后，30个日历天内退还乙方</w:t>
      </w:r>
      <w:r>
        <w:rPr>
          <w:rFonts w:hint="eastAsia" w:cs="宋体"/>
          <w:highlight w:val="none"/>
        </w:rPr>
        <w:t>应退部分</w:t>
      </w:r>
      <w:r>
        <w:rPr>
          <w:rFonts w:hint="eastAsia" w:cs="宋体"/>
          <w:snapToGrid w:val="0"/>
          <w:highlight w:val="none"/>
        </w:rPr>
        <w:t>履约保证金。因甲方原因逾期退还的，应当以未退还金额为基数，按合同订立时1年期贷款市场报价利率标准向乙方支付相应违约金，但违约金最高不得超过未退还金额的百分之二十。</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3.履约保证金汇入的银行及账号：</w:t>
      </w:r>
      <w:r>
        <w:rPr>
          <w:rFonts w:hint="eastAsia" w:cs="宋体"/>
          <w:snapToGrid w:val="0"/>
          <w:highlight w:val="none"/>
        </w:rPr>
        <w:br w:type="textWrapping"/>
      </w:r>
      <w:r>
        <w:rPr>
          <w:rFonts w:hint="eastAsia" w:cs="宋体"/>
          <w:snapToGrid w:val="0"/>
          <w:highlight w:val="none"/>
        </w:rPr>
        <w:t xml:space="preserve">   收款账号：成都市技师学院</w:t>
      </w:r>
      <w:r>
        <w:rPr>
          <w:rFonts w:hint="eastAsia" w:cs="宋体"/>
          <w:snapToGrid w:val="0"/>
          <w:highlight w:val="none"/>
        </w:rPr>
        <w:br w:type="textWrapping"/>
      </w:r>
      <w:r>
        <w:rPr>
          <w:rFonts w:hint="eastAsia" w:cs="宋体"/>
          <w:snapToGrid w:val="0"/>
          <w:highlight w:val="none"/>
        </w:rPr>
        <w:t xml:space="preserve">   开户行：工行成都红光支行</w:t>
      </w:r>
      <w:r>
        <w:rPr>
          <w:rFonts w:hint="eastAsia" w:cs="宋体"/>
          <w:snapToGrid w:val="0"/>
          <w:highlight w:val="none"/>
        </w:rPr>
        <w:br w:type="textWrapping"/>
      </w:r>
      <w:r>
        <w:rPr>
          <w:rFonts w:hint="eastAsia" w:cs="宋体"/>
          <w:snapToGrid w:val="0"/>
          <w:highlight w:val="none"/>
        </w:rPr>
        <w:t xml:space="preserve">   银行账号：4402054609100031151</w:t>
      </w:r>
      <w:r>
        <w:rPr>
          <w:rFonts w:hint="eastAsia" w:cs="宋体"/>
          <w:snapToGrid w:val="0"/>
          <w:highlight w:val="none"/>
        </w:rPr>
        <w:br w:type="textWrapping"/>
      </w:r>
      <w:r>
        <w:rPr>
          <w:rFonts w:hint="eastAsia" w:cs="宋体"/>
          <w:snapToGrid w:val="0"/>
          <w:highlight w:val="none"/>
        </w:rPr>
        <w:t xml:space="preserve">  4.履约保证金不予退还情形:一是乙方未按合同要求履行的，其履约保证金全部扣除。二是乙方缴纳了履约保证金，但因自身原因被取消成交资格或在成交公示期满之日起30个日历天(含法定节假日)内乙方不按招标文件确定的事项与甲方签订合同的，其履约保证金不予退还。</w:t>
      </w:r>
      <w:r>
        <w:rPr>
          <w:rFonts w:hint="eastAsia" w:cs="宋体"/>
          <w:highlight w:val="none"/>
        </w:rPr>
        <w:t>三是法律法规或合同约定的其他情形。</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十四、验收方案、交付标准和方法</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2" w:name="_Toc28941"/>
      <w:r>
        <w:rPr>
          <w:rFonts w:hint="eastAsia" w:cs="宋体"/>
          <w:snapToGrid w:val="0"/>
          <w:highlight w:val="none"/>
        </w:rPr>
        <w:t>1、验收的主体：甲方</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2、验收的时间：</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(1)乙方完成送货、安装调试工作后，书面通知甲方初步验收，甲方收到初步验收申请后5日历天内组织初步验收。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(2)初步验收合格后，进入10日历天试用期，试用期间发生一般性质量问题，修复后试用期相应顺延，试用期结束且甲方收到乙方设备终验收申请后5日历天内完成设备终验收。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snapToGrid w:val="0"/>
          <w:highlight w:val="none"/>
        </w:rPr>
        <w:t>(3)售后服务期结束且甲方收到乙方售后服务整体验收申请之日起5日历天内完成售后服务整体验收。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验收的方式：初步验收和设备终验收为现场测试验收，售后服务验收为考核验收(乙方每次按照售后服务要求提供服务的视为单次售后服务合格，售后服务期内售后服务合格率[合格的售后服务次数/售后服务总次数]低于百分之九十五视为售后服务不合格)。</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4、验收的程序：</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递交初步验收或设备终验收申请后，甲方组织3人以上的验收小组进行现场测试验收；验收合格，则签署《初步验收报告单》或《验收报告单》；若验收不合格，乙方应在接到甲方整改通知之日起15个日历天内完成整改，再由甲方组织重新验收，若货物再次验收不合格则视为乙方不能履约，甲方有权终止合同，并按合同约定追究乙方的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(2)单次售后服务完成后，由甲方的经办人现场验收并记录，该记录作为售后服务整体验收的依据。</w:t>
      </w:r>
      <w:r>
        <w:rPr>
          <w:rFonts w:hint="eastAsia" w:cs="宋体"/>
          <w:bCs/>
          <w:highlight w:val="none"/>
        </w:rPr>
        <w:t>乙方递交售后服务整体验收申请后，甲方组织3人以上的验收小组核查售后服务合格率；</w:t>
      </w:r>
      <w:r>
        <w:rPr>
          <w:rFonts w:hint="eastAsia" w:cs="宋体"/>
          <w:snapToGrid w:val="0"/>
          <w:highlight w:val="none"/>
        </w:rPr>
        <w:t>验收合格，则签署《验收报告单》；若售后服务验收不合格，甲方有权按合同约定追究乙方的违约责任。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5、验收的内容：</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(1)初步验收内容包括品牌、型号、数量、外观、安装调试、运行状况、使用说明或手册、合格证书、原厂保修单；</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(2)试运行结束后的设备验收内容包括每一项技术和商务要求(售后服务除外)的履约情况；验收合格。</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(3)售后服务验收内容包括售后服务要求中每一项要求的履约情况。</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6、验收的标准：按招标文件的质量要求和技术指标、乙方的响应文件及承诺、合同约定进行验收。其他未尽事宜应按照《财政部关于进一步加强政府采购需求和履约验收管理的指导意见》(财库〔2016〕205 号)的要求进行验收。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8、交付标准及方式：乙方向甲方移交了装箱清单、配件、随机工具、使用说明或手册、合格证书、原厂保修单等资料，并在甲方指定地点完成设备安装、调整等工作且通过设备验收视为乙方交货。</w:t>
      </w:r>
      <w:bookmarkEnd w:id="1222"/>
      <w:bookmarkStart w:id="1223" w:name="_Toc12788"/>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十五、知识产权</w:t>
      </w:r>
      <w:bookmarkEnd w:id="1223"/>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应保证在本项目中使用的任何产品和服务，不会产生因第三方提出侵犯其专利权、商标权或其它知识产权而引起的法律和经济纠纷，如因专利权、商标权或其它知识产权而引起法律和经济纠纷，由乙方承担所有相关责任。甲方因此遭受的损失(包括但不限于因此向第三方支付的赔偿金、违约金等，以及因此支出的诉讼费用、律师费、保全费等)均由乙方承担。</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highlight w:val="none"/>
        </w:rPr>
        <w:t>2.履行本合同产生的知识产权均归甲方所有。</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bookmarkStart w:id="1224" w:name="_Toc28329"/>
      <w:r>
        <w:rPr>
          <w:rFonts w:hint="eastAsia" w:cs="宋体"/>
          <w:b/>
          <w:bCs/>
          <w:highlight w:val="none"/>
        </w:rPr>
        <w:t>十六、合同的变更和终止</w:t>
      </w:r>
      <w:bookmarkEnd w:id="1224"/>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highlight w:val="none"/>
        </w:rPr>
      </w:pPr>
      <w:r>
        <w:rPr>
          <w:rFonts w:hint="eastAsia" w:cs="宋体"/>
          <w:snapToGrid w:val="0"/>
          <w:highlight w:val="none"/>
        </w:rPr>
        <w:t>除《政府采购法》第49条、第50条规定的情形外，本合同一经签订，甲乙双方不得擅自变更、中止或终止合同。</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bookmarkStart w:id="1225" w:name="_Toc4413"/>
      <w:r>
        <w:rPr>
          <w:rFonts w:hint="eastAsia" w:cs="宋体"/>
          <w:b/>
          <w:bCs/>
          <w:highlight w:val="none"/>
        </w:rPr>
        <w:t>十七、合同的分包和转让</w:t>
      </w:r>
      <w:bookmarkEnd w:id="1225"/>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6" w:name="_Toc25301"/>
      <w:r>
        <w:rPr>
          <w:rFonts w:hint="eastAsia" w:cs="宋体"/>
          <w:snapToGrid w:val="0"/>
          <w:highlight w:val="none"/>
        </w:rPr>
        <w:t>1.乙方不得部分或全部转让其应履行的合同义务；</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2.乙方不得分包。</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十八、违约责任</w:t>
      </w:r>
      <w:bookmarkEnd w:id="1226"/>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bookmarkStart w:id="1227" w:name="_Toc31185"/>
      <w:r>
        <w:rPr>
          <w:rFonts w:hint="eastAsia" w:cs="宋体"/>
          <w:snapToGrid w:val="0"/>
          <w:highlight w:val="none"/>
        </w:rPr>
        <w:t>(一)甲方违约责任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1.甲方无正当理由拒收货物的，甲方应偿付合同总金额的百分之二十的违约金；</w:t>
      </w:r>
    </w:p>
    <w:p>
      <w:pPr>
        <w:keepNext w:val="0"/>
        <w:keepLines w:val="0"/>
        <w:pageBreakBefore w:val="0"/>
        <w:widowControl w:val="0"/>
        <w:kinsoku/>
        <w:wordWrap/>
        <w:overflowPunct/>
        <w:autoSpaceDE/>
        <w:autoSpaceDN/>
        <w:bidi w:val="0"/>
        <w:adjustRightInd/>
        <w:snapToGrid/>
        <w:ind w:firstLine="480" w:firstLineChars="200"/>
        <w:textAlignment w:val="auto"/>
        <w:rPr>
          <w:rFonts w:cs="宋体"/>
          <w:snapToGrid w:val="0"/>
          <w:kern w:val="0"/>
          <w:highlight w:val="none"/>
        </w:rPr>
      </w:pPr>
      <w:r>
        <w:rPr>
          <w:rFonts w:hint="eastAsia" w:cs="宋体"/>
          <w:snapToGrid w:val="0"/>
          <w:kern w:val="0"/>
          <w:highlight w:val="none"/>
        </w:rPr>
        <w:t>2.甲方故意逾期支付货款的，除应及时付足货款外，应向乙方偿付欠款总额万分之一/天的违约金，逾期违约金不得超过欠款总额的百分之二十。逾期付款超过30个日历天的，乙方有权终止合同。</w:t>
      </w:r>
    </w:p>
    <w:p>
      <w:pPr>
        <w:keepNext w:val="0"/>
        <w:keepLines w:val="0"/>
        <w:pageBreakBefore w:val="0"/>
        <w:widowControl w:val="0"/>
        <w:kinsoku/>
        <w:wordWrap/>
        <w:overflowPunct/>
        <w:autoSpaceDE/>
        <w:autoSpaceDN/>
        <w:bidi w:val="0"/>
        <w:adjustRightInd/>
        <w:snapToGrid/>
        <w:ind w:firstLine="480" w:firstLineChars="200"/>
        <w:textAlignment w:val="auto"/>
        <w:rPr>
          <w:rFonts w:cs="宋体"/>
          <w:snapToGrid w:val="0"/>
          <w:kern w:val="0"/>
          <w:highlight w:val="none"/>
        </w:rPr>
      </w:pPr>
      <w:r>
        <w:rPr>
          <w:rFonts w:hint="eastAsia" w:cs="宋体"/>
          <w:snapToGrid w:val="0"/>
          <w:kern w:val="0"/>
          <w:highlight w:val="none"/>
        </w:rPr>
        <w:t>非甲方故意逾期付款的，甲方不承担任何逾期付款责任，乙方也不得终止合同(说明：如因2021年年终财政关闭支付系统导致甲方在合同履行期间无法支付，则甲方不承担逾期支付责任，待2022年财政支付系统开通后支付)。</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(二)乙方违约责任</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乙方交付的货物质量不符合招标文件和投标文件规定的，乙方应在15个日历天内更换合格的产品给甲方。若乙方未在15个日历天内更换合格产品给甲方或更换后的产品仍不符合招标文件和投标文件的质量要求，视作乙方不能交付货物而违约，乙方按本条本款下述第“2”项规定向甲方支付违约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不能交付货物而违约的，本合同终止，乙方按合同总金额的百分之二十向甲方支付违约金和赔偿因此给甲方造成的全部损失，并且甲方不予退还乙方履约保证金，同时乙方须全额退还甲方已经支付的货款及其利息。</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乙方逾期交付货物而违约的，除应及时交足货物外，还应向甲方偿付逾期交货部分货款总额的万分之一/天的违约金。逾期30个日历天未交付货物的，甲方有权终止合同并要求乙方按合同总金额的百分之二十向甲方支付违约金和赔偿因此给甲方造成的全部损失，并且甲方不予退还乙方履约保证金，同时乙方须全额退还甲方已经支付的货款及其利息。</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4.乙方货物经甲方送交具有法定资格条件的质量技术监督机构检测后，如检测结果认定货物质量不符合招标文件和乙方投标文件规定标准的，则视为乙方没有按时交货而违约，乙方须在15个日历天内无条件更换合格的货物，如逾期不能更换合格的货物，甲方有权终止合同并要求乙方按合同总金额的百分之二十向甲方支付违约金和赔偿因此给甲方造成的全部损失，并且甲方不予退还乙方履约保证金，同时乙方须全额退还甲方已经支付的货款及其利息。</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5.乙方未按招标文件和乙方的投标文件约定的时间及要求提供售后服务的，甲方有权聘请第三方提供服务，由此产生的费用全部由乙方承担。售后服务期内售后服务合格率(合格服务次数/总服务次数)低于百分之九十五视为售后服务不合格，甲方不予返还乙方履约保证金，乙方还应按本合同总金额的百分之二十向甲方支付违约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6.乙方保证响应的货物的权利无瑕疵，包括货物所有权及知识产权等权利无瑕疵。如任何第三方经法院(或仲裁机构)裁决有权对上述货物主张权利或国家机关依法对货物进行没收查处的，乙方除应向甲方返还已收款项外，还应另按本合同总金额百分之二十向甲方支付违约金。甲方因此遭受的损失由乙方承担(包括但不限甲方因侵权产品被权利人起诉产生的一切费用)。</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7.若乙方提供虚假、作废发票或违反国家法律、法规开具或提供发票的，乙方自行承担全部法律责任，同时乙方还应按本合同总金额的百分之二十向甲方支付违约金。</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8.乙方支付的违约金不足以弥补甲方损失的，还应按甲方损失尚未弥补的部分,支付赔偿金给甲方。</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十九、解决争议的方法</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1.因质量问题发生争议，由甲乙双方协商确定的第三方机构进行质量鉴定。质量符合标准的，鉴定费由甲方承担；不符合质量标准的，鉴定费由乙方承担。</w:t>
      </w:r>
    </w:p>
    <w:p>
      <w:pPr>
        <w:keepNext w:val="0"/>
        <w:keepLines w:val="0"/>
        <w:pageBreakBefore w:val="0"/>
        <w:widowControl w:val="0"/>
        <w:kinsoku/>
        <w:wordWrap/>
        <w:overflowPunct/>
        <w:topLine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2.履约期间,若双方发生争议，双方应通过友好协商解决，经协商不能达成协议时，应提交甲方所在地的人民法院诉讼。在诉讼期间，除正在进行诉讼的部分外，合同其他部分继续执行。</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3.除判决另有规定外，一切涉诉合理费用均由违约方承担。</w:t>
      </w:r>
    </w:p>
    <w:p>
      <w:pPr>
        <w:keepNext w:val="0"/>
        <w:keepLines w:val="0"/>
        <w:pageBreakBefore w:val="0"/>
        <w:widowControl w:val="0"/>
        <w:kinsoku/>
        <w:wordWrap/>
        <w:overflowPunct/>
        <w:topLinePunct/>
        <w:autoSpaceDE/>
        <w:autoSpaceDN/>
        <w:bidi w:val="0"/>
        <w:adjustRightInd/>
        <w:snapToGrid/>
        <w:ind w:firstLine="482" w:firstLineChars="200"/>
        <w:jc w:val="both"/>
        <w:textAlignment w:val="auto"/>
        <w:rPr>
          <w:rFonts w:cs="宋体"/>
          <w:b/>
          <w:bCs/>
          <w:highlight w:val="none"/>
        </w:rPr>
      </w:pPr>
      <w:r>
        <w:rPr>
          <w:rFonts w:hint="eastAsia" w:cs="宋体"/>
          <w:b/>
          <w:bCs/>
          <w:highlight w:val="none"/>
        </w:rPr>
        <w:t>二十、组成本合同的有关文件</w:t>
      </w:r>
      <w:bookmarkEnd w:id="1227"/>
      <w:r>
        <w:rPr>
          <w:rFonts w:hint="eastAsia" w:cs="宋体"/>
          <w:b/>
          <w:bCs/>
          <w:highlight w:val="none"/>
        </w:rPr>
        <w:t xml:space="preserve"> </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下列关于成都市技师学院</w:t>
      </w:r>
      <w:r>
        <w:rPr>
          <w:rFonts w:hint="eastAsia" w:cs="宋体"/>
          <w:highlight w:val="none"/>
        </w:rPr>
        <w:t>(成都工贸职业技术学院)城市轨道交通信号工正线联锁实训设备</w:t>
      </w:r>
      <w:r>
        <w:rPr>
          <w:rFonts w:hint="eastAsia" w:cs="宋体"/>
          <w:snapToGrid w:val="0"/>
          <w:highlight w:val="none"/>
        </w:rPr>
        <w:t>采购项目(项目编号：XXXX)的招标文件、乙方的投标文件或与本次采购活动方式相适应的文件及有关附件是本合同不可分割的组成部分，与本合同具有同等法律效力，这些文件包括但不限于：</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1.甲方的招标文件；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2.乙方的投标文件；</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snapToGrid w:val="0"/>
          <w:highlight w:val="none"/>
        </w:rPr>
      </w:pPr>
      <w:r>
        <w:rPr>
          <w:rFonts w:hint="eastAsia" w:cs="宋体"/>
          <w:snapToGrid w:val="0"/>
          <w:highlight w:val="none"/>
        </w:rPr>
        <w:t>3.中标通知书；</w:t>
      </w:r>
    </w:p>
    <w:p>
      <w:pPr>
        <w:keepNext w:val="0"/>
        <w:keepLines w:val="0"/>
        <w:pageBreakBefore w:val="0"/>
        <w:widowControl w:val="0"/>
        <w:kinsoku/>
        <w:wordWrap/>
        <w:overflowPunct/>
        <w:autoSpaceDE/>
        <w:autoSpaceDN/>
        <w:bidi w:val="0"/>
        <w:adjustRightInd/>
        <w:snapToGrid/>
        <w:ind w:firstLine="482" w:firstLineChars="200"/>
        <w:jc w:val="both"/>
        <w:textAlignment w:val="auto"/>
        <w:rPr>
          <w:rFonts w:cs="宋体"/>
          <w:b/>
          <w:bCs/>
          <w:highlight w:val="none"/>
        </w:rPr>
      </w:pPr>
      <w:bookmarkStart w:id="1228" w:name="_Toc16141"/>
      <w:r>
        <w:rPr>
          <w:rFonts w:hint="eastAsia" w:cs="宋体"/>
          <w:b/>
          <w:bCs/>
          <w:highlight w:val="none"/>
        </w:rPr>
        <w:t>二十一、其他</w:t>
      </w:r>
      <w:bookmarkEnd w:id="1228"/>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1.本合同自乙方缴纳履约保证金后，且合同经双方法定代表人或授权委托代理人签字并加盖章后生效。</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2.本合同一式陆份，甲方伍份，乙方壹份，均具有同等法律效力。</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3.如本合同与甲方的招标文件、乙方的投标文件不一致时，以甲方的招标文件、乙方的投标文件为准。</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4.如有未尽事宜，由双方依法订立书面补充合同，补充合同与本合同具有同等法律效力。</w:t>
      </w:r>
    </w:p>
    <w:p>
      <w:pPr>
        <w:keepNext w:val="0"/>
        <w:keepLines w:val="0"/>
        <w:pageBreakBefore w:val="0"/>
        <w:widowControl w:val="0"/>
        <w:kinsoku/>
        <w:wordWrap/>
        <w:overflowPunct/>
        <w:autoSpaceDE/>
        <w:autoSpaceDN/>
        <w:bidi w:val="0"/>
        <w:adjustRightInd/>
        <w:snapToGrid/>
        <w:ind w:firstLine="480" w:firstLineChars="200"/>
        <w:jc w:val="both"/>
        <w:textAlignment w:val="auto"/>
        <w:rPr>
          <w:rFonts w:cs="宋体"/>
          <w:highlight w:val="none"/>
        </w:rPr>
      </w:pPr>
      <w:r>
        <w:rPr>
          <w:rFonts w:hint="eastAsia" w:cs="宋体"/>
          <w:highlight w:val="none"/>
        </w:rPr>
        <w:t>5.本合同应按照中华人民共和国的现行法律进行解释。</w:t>
      </w:r>
      <w:bookmarkEnd w:id="1216"/>
      <w:bookmarkEnd w:id="1217"/>
    </w:p>
    <w:p>
      <w:pPr>
        <w:adjustRightInd/>
        <w:snapToGrid/>
        <w:ind w:firstLine="480" w:firstLineChars="200"/>
        <w:jc w:val="both"/>
        <w:rPr>
          <w:rFonts w:cs="宋体"/>
          <w:highlight w:val="none"/>
        </w:rPr>
      </w:pPr>
    </w:p>
    <w:p>
      <w:pPr>
        <w:adjustRightInd/>
        <w:snapToGrid/>
        <w:ind w:firstLine="480" w:firstLineChars="200"/>
        <w:jc w:val="both"/>
        <w:rPr>
          <w:rFonts w:cs="宋体"/>
          <w:highlight w:val="none"/>
        </w:rPr>
      </w:pPr>
    </w:p>
    <w:p>
      <w:pPr>
        <w:rPr>
          <w:rFonts w:cs="宋体"/>
          <w:b/>
          <w:bCs/>
          <w:highlight w:val="none"/>
        </w:rPr>
      </w:pPr>
      <w:r>
        <w:rPr>
          <w:rFonts w:hint="eastAsia" w:cs="宋体"/>
          <w:b/>
          <w:bCs/>
          <w:highlight w:val="none"/>
        </w:rPr>
        <w:br w:type="page"/>
      </w:r>
    </w:p>
    <w:p>
      <w:pPr>
        <w:wordWrap w:val="0"/>
        <w:jc w:val="center"/>
        <w:rPr>
          <w:rFonts w:cs="宋体"/>
          <w:b/>
          <w:bCs/>
          <w:highlight w:val="none"/>
        </w:rPr>
      </w:pPr>
      <w:r>
        <w:rPr>
          <w:rFonts w:hint="eastAsia" w:cs="宋体"/>
          <w:b/>
          <w:bCs/>
          <w:highlight w:val="none"/>
        </w:rPr>
        <w:t>(本页无正文)</w:t>
      </w:r>
    </w:p>
    <w:p>
      <w:pPr>
        <w:adjustRightInd/>
        <w:snapToGrid/>
        <w:jc w:val="both"/>
        <w:rPr>
          <w:b/>
          <w:bCs/>
          <w:highlight w:val="none"/>
        </w:rPr>
      </w:pPr>
    </w:p>
    <w:tbl>
      <w:tblPr>
        <w:tblStyle w:val="23"/>
        <w:tblW w:w="93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0"/>
        <w:gridCol w:w="4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甲方：</w:t>
            </w:r>
            <w:r>
              <w:rPr>
                <w:rFonts w:hint="eastAsia" w:cs="宋体"/>
                <w:snapToGrid w:val="0"/>
                <w:highlight w:val="none"/>
              </w:rPr>
              <w:t xml:space="preserve">成都市技师学院 </w:t>
            </w:r>
            <w:r>
              <w:rPr>
                <w:rFonts w:hint="eastAsia"/>
                <w:snapToGrid w:val="0"/>
                <w:highlight w:val="none"/>
              </w:rPr>
              <w:t>(盖章)</w:t>
            </w:r>
          </w:p>
        </w:tc>
        <w:tc>
          <w:tcPr>
            <w:tcW w:w="4680" w:type="dxa"/>
            <w:vAlign w:val="center"/>
          </w:tcPr>
          <w:p>
            <w:pPr>
              <w:wordWrap w:val="0"/>
              <w:topLinePunct/>
              <w:rPr>
                <w:snapToGrid w:val="0"/>
                <w:highlight w:val="none"/>
              </w:rPr>
            </w:pPr>
            <w:r>
              <w:rPr>
                <w:rFonts w:hint="eastAsia"/>
                <w:snapToGrid w:val="0"/>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法定代表人(授权代表)：</w:t>
            </w:r>
          </w:p>
        </w:tc>
        <w:tc>
          <w:tcPr>
            <w:tcW w:w="4680" w:type="dxa"/>
            <w:vAlign w:val="center"/>
          </w:tcPr>
          <w:p>
            <w:pPr>
              <w:wordWrap w:val="0"/>
              <w:topLinePunct/>
              <w:rPr>
                <w:snapToGrid w:val="0"/>
                <w:highlight w:val="none"/>
              </w:rPr>
            </w:pPr>
            <w:r>
              <w:rPr>
                <w:rFonts w:hint="eastAsia"/>
                <w:snapToGrid w:val="0"/>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jc w:val="center"/>
        </w:trPr>
        <w:tc>
          <w:tcPr>
            <w:tcW w:w="4680" w:type="dxa"/>
            <w:vAlign w:val="center"/>
          </w:tcPr>
          <w:p>
            <w:pPr>
              <w:wordWrap w:val="0"/>
              <w:jc w:val="both"/>
              <w:rPr>
                <w:highlight w:val="none"/>
              </w:rPr>
            </w:pPr>
            <w:r>
              <w:rPr>
                <w:rFonts w:hint="eastAsia"/>
                <w:highlight w:val="none"/>
              </w:rPr>
              <w:t>地址(住所)：</w:t>
            </w:r>
            <w:r>
              <w:rPr>
                <w:rFonts w:hint="eastAsia" w:cs="宋体"/>
                <w:highlight w:val="none"/>
              </w:rPr>
              <w:t>成都市郫都区红光街道港通北三路</w:t>
            </w:r>
            <w:r>
              <w:rPr>
                <w:rFonts w:cs="宋体"/>
                <w:highlight w:val="none"/>
              </w:rPr>
              <w:t>1899号</w:t>
            </w:r>
          </w:p>
        </w:tc>
        <w:tc>
          <w:tcPr>
            <w:tcW w:w="4680" w:type="dxa"/>
            <w:vAlign w:val="center"/>
          </w:tcPr>
          <w:p>
            <w:pPr>
              <w:wordWrap w:val="0"/>
              <w:topLinePunct/>
              <w:rPr>
                <w:snapToGrid w:val="0"/>
                <w:highlight w:val="none"/>
              </w:rPr>
            </w:pPr>
            <w:r>
              <w:rPr>
                <w:rFonts w:hint="eastAsia"/>
                <w:snapToGrid w:val="0"/>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开户银行：</w:t>
            </w:r>
            <w:r>
              <w:rPr>
                <w:rFonts w:hint="eastAsia" w:cs="宋体"/>
                <w:snapToGrid w:val="0"/>
                <w:highlight w:val="none"/>
              </w:rPr>
              <w:t>工行成都红光支行</w:t>
            </w:r>
          </w:p>
        </w:tc>
        <w:tc>
          <w:tcPr>
            <w:tcW w:w="4680" w:type="dxa"/>
            <w:vAlign w:val="center"/>
          </w:tcPr>
          <w:p>
            <w:pPr>
              <w:wordWrap w:val="0"/>
              <w:topLinePunct/>
              <w:rPr>
                <w:snapToGrid w:val="0"/>
                <w:highlight w:val="none"/>
              </w:rPr>
            </w:pPr>
            <w:r>
              <w:rPr>
                <w:rFonts w:hint="eastAsia"/>
                <w:snapToGrid w:val="0"/>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账号：</w:t>
            </w:r>
            <w:r>
              <w:rPr>
                <w:rFonts w:hint="eastAsia" w:cs="宋体"/>
                <w:snapToGrid w:val="0"/>
                <w:highlight w:val="none"/>
              </w:rPr>
              <w:t>4402054609100031151</w:t>
            </w:r>
          </w:p>
        </w:tc>
        <w:tc>
          <w:tcPr>
            <w:tcW w:w="4680" w:type="dxa"/>
            <w:vAlign w:val="center"/>
          </w:tcPr>
          <w:p>
            <w:pPr>
              <w:wordWrap w:val="0"/>
              <w:topLinePunct/>
              <w:rPr>
                <w:snapToGrid w:val="0"/>
                <w:highlight w:val="none"/>
              </w:rPr>
            </w:pPr>
            <w:r>
              <w:rPr>
                <w:rFonts w:hint="eastAsia"/>
                <w:snapToGrid w:val="0"/>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电话：</w:t>
            </w:r>
          </w:p>
        </w:tc>
        <w:tc>
          <w:tcPr>
            <w:tcW w:w="4680" w:type="dxa"/>
            <w:vAlign w:val="center"/>
          </w:tcPr>
          <w:p>
            <w:pPr>
              <w:wordWrap w:val="0"/>
              <w:topLinePunct/>
              <w:rPr>
                <w:snapToGrid w:val="0"/>
                <w:highlight w:val="none"/>
              </w:rPr>
            </w:pPr>
            <w:r>
              <w:rPr>
                <w:rFonts w:hint="eastAsia"/>
                <w:snapToGrid w:val="0"/>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传真：</w:t>
            </w:r>
          </w:p>
        </w:tc>
        <w:tc>
          <w:tcPr>
            <w:tcW w:w="4680" w:type="dxa"/>
            <w:vAlign w:val="center"/>
          </w:tcPr>
          <w:p>
            <w:pPr>
              <w:wordWrap w:val="0"/>
              <w:topLinePunct/>
              <w:rPr>
                <w:snapToGrid w:val="0"/>
                <w:highlight w:val="none"/>
              </w:rPr>
            </w:pPr>
            <w:r>
              <w:rPr>
                <w:rFonts w:hint="eastAsia"/>
                <w:snapToGrid w:val="0"/>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邮箱：</w:t>
            </w:r>
          </w:p>
        </w:tc>
        <w:tc>
          <w:tcPr>
            <w:tcW w:w="4680" w:type="dxa"/>
            <w:vAlign w:val="center"/>
          </w:tcPr>
          <w:p>
            <w:pPr>
              <w:wordWrap w:val="0"/>
              <w:topLinePunct/>
              <w:rPr>
                <w:snapToGrid w:val="0"/>
                <w:highlight w:val="none"/>
              </w:rPr>
            </w:pPr>
            <w:r>
              <w:rPr>
                <w:rFonts w:hint="eastAsia"/>
                <w:snapToGrid w:val="0"/>
                <w:highlight w:val="none"/>
              </w:rPr>
              <w:t>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680" w:type="dxa"/>
            <w:vAlign w:val="center"/>
          </w:tcPr>
          <w:p>
            <w:pPr>
              <w:wordWrap w:val="0"/>
              <w:topLinePunct/>
              <w:rPr>
                <w:snapToGrid w:val="0"/>
                <w:highlight w:val="none"/>
              </w:rPr>
            </w:pPr>
            <w:r>
              <w:rPr>
                <w:rFonts w:hint="eastAsia"/>
                <w:snapToGrid w:val="0"/>
                <w:highlight w:val="none"/>
              </w:rPr>
              <w:t>签约日期：XX年XX月XX日</w:t>
            </w:r>
          </w:p>
        </w:tc>
        <w:tc>
          <w:tcPr>
            <w:tcW w:w="4680" w:type="dxa"/>
            <w:vAlign w:val="center"/>
          </w:tcPr>
          <w:p>
            <w:pPr>
              <w:wordWrap w:val="0"/>
              <w:topLinePunct/>
              <w:rPr>
                <w:snapToGrid w:val="0"/>
                <w:highlight w:val="none"/>
              </w:rPr>
            </w:pPr>
            <w:r>
              <w:rPr>
                <w:rFonts w:hint="eastAsia"/>
                <w:snapToGrid w:val="0"/>
                <w:highlight w:val="none"/>
              </w:rPr>
              <w:t>签约日期：XX年XX月XX日</w:t>
            </w:r>
          </w:p>
        </w:tc>
      </w:tr>
    </w:tbl>
    <w:p>
      <w:pPr>
        <w:wordWrap w:val="0"/>
        <w:topLinePunct/>
        <w:rPr>
          <w:snapToGrid w:val="0"/>
          <w:highlight w:val="none"/>
        </w:rPr>
      </w:pPr>
    </w:p>
    <w:bookmarkEnd w:id="1215"/>
    <w:p>
      <w:pPr>
        <w:rPr>
          <w:highlight w:val="none"/>
        </w:rPr>
      </w:pPr>
      <w:bookmarkStart w:id="1229" w:name="_Toc28848"/>
      <w:r>
        <w:rPr>
          <w:highlight w:val="none"/>
        </w:rPr>
        <w:br w:type="page"/>
      </w:r>
    </w:p>
    <w:p>
      <w:pPr>
        <w:pStyle w:val="28"/>
        <w:numPr>
          <w:ilvl w:val="0"/>
          <w:numId w:val="12"/>
        </w:numPr>
        <w:spacing w:before="120" w:after="120"/>
        <w:rPr>
          <w:highlight w:val="none"/>
        </w:rPr>
      </w:pPr>
      <w:bookmarkStart w:id="1230" w:name="_Toc20972"/>
      <w:r>
        <w:rPr>
          <w:rFonts w:hint="eastAsia"/>
          <w:highlight w:val="none"/>
        </w:rPr>
        <w:t>附件</w:t>
      </w:r>
      <w:bookmarkEnd w:id="1229"/>
      <w:bookmarkEnd w:id="1230"/>
    </w:p>
    <w:p>
      <w:pPr>
        <w:pStyle w:val="29"/>
        <w:jc w:val="both"/>
        <w:rPr>
          <w:rFonts w:cs="宋体"/>
          <w:b/>
          <w:bCs/>
          <w:highlight w:val="none"/>
        </w:rPr>
      </w:pPr>
      <w:r>
        <w:rPr>
          <w:rFonts w:hint="eastAsia" w:cs="宋体"/>
          <w:b/>
          <w:bCs/>
          <w:highlight w:val="none"/>
        </w:rPr>
        <w:t>附件一：政府采购云平台使用介绍</w:t>
      </w:r>
    </w:p>
    <w:p>
      <w:pPr>
        <w:adjustRightInd/>
        <w:snapToGrid/>
        <w:spacing w:after="160" w:line="259" w:lineRule="auto"/>
        <w:jc w:val="both"/>
        <w:rPr>
          <w:rFonts w:cs="宋体"/>
          <w:b/>
          <w:bCs/>
          <w:szCs w:val="32"/>
          <w:highlight w:val="none"/>
        </w:rPr>
      </w:pPr>
      <w:r>
        <w:rPr>
          <w:rFonts w:hint="eastAsia" w:cs="宋体"/>
          <w:b/>
          <w:bCs/>
          <w:szCs w:val="32"/>
          <w:highlight w:val="none"/>
        </w:rPr>
        <w:t>1.输入网址：</w:t>
      </w:r>
      <w:r>
        <w:rPr>
          <w:highlight w:val="none"/>
        </w:rPr>
        <w:fldChar w:fldCharType="begin"/>
      </w:r>
      <w:r>
        <w:rPr>
          <w:highlight w:val="none"/>
        </w:rPr>
        <w:instrText xml:space="preserve"> HYPERLINK "https://www.zcygov.cn" </w:instrText>
      </w:r>
      <w:r>
        <w:rPr>
          <w:highlight w:val="none"/>
        </w:rPr>
        <w:fldChar w:fldCharType="separate"/>
      </w:r>
      <w:r>
        <w:rPr>
          <w:rFonts w:hint="eastAsia" w:cs="宋体"/>
          <w:b/>
          <w:bCs/>
          <w:szCs w:val="32"/>
          <w:highlight w:val="none"/>
          <w:u w:val="single"/>
        </w:rPr>
        <w:t>https://www.zcygov.cn</w:t>
      </w:r>
      <w:r>
        <w:rPr>
          <w:rFonts w:hint="eastAsia" w:cs="宋体"/>
          <w:b/>
          <w:bCs/>
          <w:szCs w:val="32"/>
          <w:highlight w:val="none"/>
          <w:u w:val="single"/>
        </w:rPr>
        <w:fldChar w:fldCharType="end"/>
      </w:r>
    </w:p>
    <w:p>
      <w:pPr>
        <w:adjustRightInd/>
        <w:snapToGrid/>
        <w:spacing w:after="160" w:line="259" w:lineRule="auto"/>
        <w:jc w:val="both"/>
        <w:rPr>
          <w:rFonts w:cs="宋体"/>
          <w:b/>
          <w:bCs/>
          <w:szCs w:val="32"/>
          <w:highlight w:val="none"/>
        </w:rPr>
      </w:pPr>
      <w:r>
        <w:rPr>
          <w:rFonts w:hint="eastAsia" w:cs="宋体"/>
          <w:b/>
          <w:bCs/>
          <w:szCs w:val="32"/>
          <w:highlight w:val="none"/>
        </w:rPr>
        <w:t>2.选择与项目对应的行政区域如：四川省-成都市-成都市本级</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23940" cy="3829685"/>
            <wp:effectExtent l="0" t="0" r="10160" b="184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123940" cy="3829685"/>
                    </a:xfrm>
                    <a:prstGeom prst="rect">
                      <a:avLst/>
                    </a:prstGeom>
                    <a:noFill/>
                    <a:ln>
                      <a:noFill/>
                    </a:ln>
                  </pic:spPr>
                </pic:pic>
              </a:graphicData>
            </a:graphic>
          </wp:inline>
        </w:drawing>
      </w:r>
    </w:p>
    <w:p>
      <w:pPr>
        <w:rPr>
          <w:rFonts w:cs="宋体"/>
          <w:b/>
          <w:bCs/>
          <w:szCs w:val="32"/>
          <w:highlight w:val="none"/>
        </w:rPr>
      </w:pPr>
      <w:r>
        <w:rPr>
          <w:rFonts w:hint="eastAsia" w:cs="宋体"/>
          <w:b/>
          <w:bCs/>
          <w:szCs w:val="32"/>
          <w:highlight w:val="none"/>
        </w:rPr>
        <w:br w:type="page"/>
      </w:r>
    </w:p>
    <w:p>
      <w:pPr>
        <w:numPr>
          <w:ilvl w:val="0"/>
          <w:numId w:val="42"/>
        </w:numPr>
        <w:tabs>
          <w:tab w:val="clear" w:pos="0"/>
        </w:tabs>
        <w:adjustRightInd/>
        <w:snapToGrid/>
        <w:spacing w:after="160" w:line="259" w:lineRule="auto"/>
        <w:jc w:val="both"/>
        <w:rPr>
          <w:rFonts w:cs="宋体"/>
          <w:b/>
          <w:bCs/>
          <w:szCs w:val="32"/>
          <w:highlight w:val="none"/>
        </w:rPr>
      </w:pPr>
      <w:r>
        <w:rPr>
          <w:rFonts w:hint="eastAsia" w:cs="宋体"/>
          <w:b/>
          <w:bCs/>
          <w:szCs w:val="32"/>
          <w:highlight w:val="none"/>
        </w:rPr>
        <w:t>点击操作指南-供应商</w:t>
      </w:r>
    </w:p>
    <w:p>
      <w:pPr>
        <w:wordWrap w:val="0"/>
        <w:adjustRightInd/>
        <w:snapToGrid/>
        <w:spacing w:after="160" w:line="260" w:lineRule="auto"/>
        <w:jc w:val="center"/>
        <w:rPr>
          <w:rFonts w:ascii="Calibri" w:hAnsi="Calibri" w:cs="Times New Roman"/>
          <w:b/>
          <w:bCs/>
          <w:sz w:val="21"/>
          <w:highlight w:val="none"/>
        </w:rPr>
      </w:pPr>
      <w:r>
        <w:rPr>
          <w:rFonts w:ascii="Calibri" w:hAnsi="Calibri" w:cs="Times New Roman"/>
          <w:sz w:val="21"/>
          <w:highlight w:val="none"/>
        </w:rPr>
        <w:drawing>
          <wp:inline distT="0" distB="0" distL="114300" distR="114300">
            <wp:extent cx="6184900" cy="3202940"/>
            <wp:effectExtent l="0" t="0" r="635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184900" cy="3202940"/>
                    </a:xfrm>
                    <a:prstGeom prst="rect">
                      <a:avLst/>
                    </a:prstGeom>
                    <a:noFill/>
                    <a:ln>
                      <a:noFill/>
                    </a:ln>
                  </pic:spPr>
                </pic:pic>
              </a:graphicData>
            </a:graphic>
          </wp:inline>
        </w:drawing>
      </w:r>
      <w:r>
        <w:rPr>
          <w:rFonts w:ascii="Calibri" w:hAnsi="Calibri" w:cs="Times New Roman"/>
          <w:sz w:val="21"/>
          <w:highlight w:val="none"/>
        </w:rPr>
        <w:br w:type="page"/>
      </w:r>
      <w:r>
        <w:rPr>
          <w:rFonts w:hint="eastAsia" w:cs="宋体"/>
          <w:b/>
          <w:bCs/>
          <w:szCs w:val="32"/>
          <w:highlight w:val="none"/>
        </w:rPr>
        <w:t>4.进入政采云供应商学习专题页面</w:t>
      </w:r>
      <w:r>
        <w:rPr>
          <w:rFonts w:hint="eastAsia" w:ascii="Calibri" w:hAnsi="Calibri" w:cs="Times New Roman"/>
          <w:b/>
          <w:bCs/>
          <w:sz w:val="21"/>
          <w:highlight w:val="none"/>
        </w:rPr>
        <w:t>(https://edu.zcygov.cn/luban/xxzt-chengdu-gys?utm=a0017.b1347.cl50.5.0917bc90b7bb11eb807c353645758db6)</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80455" cy="3075940"/>
            <wp:effectExtent l="0" t="0" r="1079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80455" cy="3075940"/>
                    </a:xfrm>
                    <a:prstGeom prst="rect">
                      <a:avLst/>
                    </a:prstGeom>
                    <a:noFill/>
                    <a:ln>
                      <a:noFill/>
                    </a:ln>
                  </pic:spPr>
                </pic:pic>
              </a:graphicData>
            </a:graphic>
          </wp:inline>
        </w:drawing>
      </w:r>
    </w:p>
    <w:p>
      <w:pPr>
        <w:adjustRightInd/>
        <w:snapToGrid/>
        <w:spacing w:after="160" w:line="259" w:lineRule="auto"/>
        <w:jc w:val="both"/>
        <w:rPr>
          <w:rFonts w:cs="宋体"/>
          <w:b/>
          <w:bCs/>
          <w:szCs w:val="32"/>
          <w:highlight w:val="none"/>
        </w:rPr>
      </w:pPr>
      <w:r>
        <w:rPr>
          <w:rFonts w:hint="eastAsia" w:ascii="Calibri" w:hAnsi="Calibri" w:cs="Times New Roman"/>
          <w:sz w:val="21"/>
          <w:highlight w:val="none"/>
        </w:rPr>
        <w:br w:type="page"/>
      </w:r>
      <w:r>
        <w:rPr>
          <w:rFonts w:hint="eastAsia" w:cs="宋体"/>
          <w:b/>
          <w:bCs/>
          <w:szCs w:val="32"/>
          <w:highlight w:val="none"/>
        </w:rPr>
        <w:t>5.供应商资讯服务渠道</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253480" cy="2598420"/>
            <wp:effectExtent l="0" t="0" r="13970" b="114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6253480" cy="259842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highlight w:val="none"/>
        </w:rPr>
      </w:pPr>
      <w:r>
        <w:rPr>
          <w:rFonts w:ascii="Calibri" w:hAnsi="Calibri" w:cs="Times New Roman"/>
          <w:sz w:val="21"/>
          <w:highlight w:val="none"/>
        </w:rPr>
        <w:br w:type="page"/>
      </w:r>
      <w:r>
        <w:rPr>
          <w:rFonts w:hint="eastAsia" w:cs="宋体"/>
          <w:b/>
          <w:bCs/>
          <w:szCs w:val="32"/>
          <w:highlight w:val="none"/>
        </w:rPr>
        <w:t>6.入驻政府采购云平台(注册)</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63945" cy="2510155"/>
            <wp:effectExtent l="0" t="0" r="8255"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6163945" cy="2510155"/>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ascii="Calibri" w:hAnsi="Calibri" w:cs="Times New Roman"/>
          <w:sz w:val="21"/>
          <w:highlight w:val="none"/>
        </w:rPr>
      </w:pPr>
    </w:p>
    <w:p>
      <w:pPr>
        <w:adjustRightInd/>
        <w:snapToGrid/>
        <w:spacing w:after="160" w:line="259" w:lineRule="auto"/>
        <w:jc w:val="both"/>
        <w:rPr>
          <w:rFonts w:cs="宋体"/>
          <w:b/>
          <w:bCs/>
          <w:szCs w:val="32"/>
          <w:highlight w:val="none"/>
        </w:rPr>
      </w:pPr>
      <w:r>
        <w:rPr>
          <w:rFonts w:ascii="Calibri" w:hAnsi="Calibri" w:cs="Times New Roman"/>
          <w:sz w:val="21"/>
          <w:highlight w:val="none"/>
        </w:rPr>
        <w:br w:type="page"/>
      </w:r>
      <w:r>
        <w:rPr>
          <w:rFonts w:hint="eastAsia" w:cs="宋体"/>
          <w:b/>
          <w:bCs/>
          <w:szCs w:val="32"/>
          <w:highlight w:val="none"/>
        </w:rPr>
        <w:t>7.下载《供应商政府采购项目电子交易操作指南》</w:t>
      </w:r>
    </w:p>
    <w:p>
      <w:pPr>
        <w:adjustRightInd/>
        <w:snapToGrid/>
        <w:spacing w:after="160" w:line="259" w:lineRule="auto"/>
        <w:jc w:val="center"/>
        <w:rPr>
          <w:rFonts w:ascii="Calibri" w:hAnsi="Calibri" w:cs="Times New Roman"/>
          <w:sz w:val="21"/>
          <w:highlight w:val="none"/>
        </w:rPr>
      </w:pPr>
      <w:r>
        <w:rPr>
          <w:rFonts w:ascii="Calibri" w:hAnsi="Calibri" w:cs="Times New Roman"/>
          <w:sz w:val="21"/>
          <w:highlight w:val="none"/>
        </w:rPr>
        <w:drawing>
          <wp:inline distT="0" distB="0" distL="114300" distR="114300">
            <wp:extent cx="6156960" cy="3411220"/>
            <wp:effectExtent l="0" t="0" r="1524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156960" cy="3411220"/>
                    </a:xfrm>
                    <a:prstGeom prst="rect">
                      <a:avLst/>
                    </a:prstGeom>
                    <a:noFill/>
                    <a:ln>
                      <a:noFill/>
                    </a:ln>
                  </pic:spPr>
                </pic:pic>
              </a:graphicData>
            </a:graphic>
          </wp:inline>
        </w:drawing>
      </w:r>
    </w:p>
    <w:p>
      <w:pPr>
        <w:keepNext/>
        <w:keepLines/>
        <w:rPr>
          <w:highlight w:val="none"/>
        </w:rPr>
      </w:pPr>
    </w:p>
    <w:p>
      <w:pPr>
        <w:pStyle w:val="29"/>
        <w:jc w:val="both"/>
        <w:rPr>
          <w:rFonts w:cs="宋体"/>
          <w:b/>
          <w:bCs/>
          <w:highlight w:val="none"/>
        </w:rPr>
      </w:pPr>
      <w:r>
        <w:rPr>
          <w:rFonts w:hint="eastAsia" w:cs="宋体"/>
          <w:b/>
          <w:bCs/>
          <w:highlight w:val="none"/>
        </w:rPr>
        <w:br w:type="page"/>
      </w:r>
    </w:p>
    <w:p>
      <w:pPr>
        <w:pStyle w:val="29"/>
        <w:jc w:val="both"/>
        <w:rPr>
          <w:b/>
          <w:bCs/>
          <w:sz w:val="36"/>
          <w:szCs w:val="36"/>
          <w:highlight w:val="none"/>
        </w:rPr>
      </w:pPr>
      <w:r>
        <w:rPr>
          <w:rFonts w:hint="eastAsia" w:cs="宋体"/>
          <w:b/>
          <w:bCs/>
          <w:highlight w:val="none"/>
        </w:rPr>
        <w:t>附件二：《2021年度信用评价服务效果调查表(供应商)》</w:t>
      </w:r>
    </w:p>
    <w:p>
      <w:pPr>
        <w:pStyle w:val="29"/>
        <w:jc w:val="center"/>
        <w:rPr>
          <w:b/>
          <w:bCs/>
          <w:sz w:val="36"/>
          <w:szCs w:val="36"/>
          <w:highlight w:val="none"/>
        </w:rPr>
      </w:pPr>
      <w:r>
        <w:rPr>
          <w:rFonts w:hint="eastAsia"/>
          <w:b/>
          <w:bCs/>
          <w:sz w:val="36"/>
          <w:szCs w:val="36"/>
          <w:highlight w:val="none"/>
        </w:rPr>
        <w:t>2021年度信用评价服务效果调查表(供应商)</w:t>
      </w:r>
    </w:p>
    <w:p>
      <w:pPr>
        <w:pStyle w:val="29"/>
        <w:rPr>
          <w:highlight w:val="none"/>
          <w:u w:val="single"/>
        </w:rPr>
      </w:pPr>
      <w:r>
        <w:rPr>
          <w:rFonts w:hint="eastAsia"/>
          <w:highlight w:val="none"/>
        </w:rPr>
        <w:t>项目名称：</w:t>
      </w:r>
      <w:r>
        <w:rPr>
          <w:rFonts w:hint="eastAsia"/>
          <w:highlight w:val="none"/>
          <w:u w:val="single"/>
        </w:rPr>
        <w:t xml:space="preserve">                               </w:t>
      </w:r>
    </w:p>
    <w:p>
      <w:pPr>
        <w:pStyle w:val="29"/>
        <w:rPr>
          <w:highlight w:val="none"/>
          <w:u w:val="single"/>
        </w:rPr>
      </w:pPr>
      <w:r>
        <w:rPr>
          <w:rFonts w:hint="eastAsia"/>
          <w:highlight w:val="none"/>
        </w:rPr>
        <w:t>项目编号：</w:t>
      </w:r>
      <w:r>
        <w:rPr>
          <w:rFonts w:hint="eastAsia"/>
          <w:highlight w:val="none"/>
          <w:u w:val="single"/>
        </w:rPr>
        <w:t xml:space="preserve">                               </w:t>
      </w:r>
    </w:p>
    <w:p>
      <w:pPr>
        <w:pStyle w:val="29"/>
        <w:rPr>
          <w:highlight w:val="none"/>
        </w:rPr>
      </w:pPr>
      <w:r>
        <w:rPr>
          <w:rFonts w:hint="eastAsia"/>
          <w:highlight w:val="none"/>
        </w:rPr>
        <w:t>被评价代理机构名称：四川乾新招投标代理有限公司</w:t>
      </w:r>
    </w:p>
    <w:tbl>
      <w:tblPr>
        <w:tblStyle w:val="22"/>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 xml:space="preserve">满意 </w:t>
            </w:r>
          </w:p>
          <w:p>
            <w:pPr>
              <w:pStyle w:val="52"/>
              <w:rPr>
                <w:b/>
                <w:bCs/>
                <w:highlight w:val="none"/>
              </w:rPr>
            </w:pPr>
            <w:r>
              <w:rPr>
                <w:rFonts w:hint="eastAsia"/>
                <w:b/>
                <w:bCs/>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 xml:space="preserve">基本满意 </w:t>
            </w:r>
          </w:p>
          <w:p>
            <w:pPr>
              <w:pStyle w:val="52"/>
              <w:rPr>
                <w:b/>
                <w:bCs/>
                <w:highlight w:val="none"/>
              </w:rPr>
            </w:pPr>
            <w:r>
              <w:rPr>
                <w:rFonts w:hint="eastAsia"/>
                <w:b/>
                <w:bCs/>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 xml:space="preserve">一般 </w:t>
            </w:r>
          </w:p>
          <w:p>
            <w:pPr>
              <w:pStyle w:val="52"/>
              <w:rPr>
                <w:b/>
                <w:bCs/>
                <w:highlight w:val="none"/>
              </w:rPr>
            </w:pPr>
            <w:r>
              <w:rPr>
                <w:rFonts w:hint="eastAsia"/>
                <w:b/>
                <w:bCs/>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不满意</w:t>
            </w:r>
          </w:p>
          <w:p>
            <w:pPr>
              <w:pStyle w:val="52"/>
              <w:rPr>
                <w:b/>
                <w:bCs/>
                <w:highlight w:val="none"/>
              </w:rPr>
            </w:pPr>
            <w:r>
              <w:rPr>
                <w:rFonts w:hint="eastAsia"/>
                <w:b/>
                <w:bCs/>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r>
              <w:rPr>
                <w:rFonts w:hint="eastAsia"/>
                <w:b/>
                <w:bCs/>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highlight w:val="none"/>
              </w:rPr>
            </w:pPr>
          </w:p>
        </w:tc>
      </w:tr>
      <w:tr>
        <w:tblPrEx>
          <w:tblCellMar>
            <w:top w:w="15" w:type="dxa"/>
            <w:left w:w="15" w:type="dxa"/>
            <w:bottom w:w="15" w:type="dxa"/>
            <w:right w:w="15" w:type="dxa"/>
          </w:tblCellMar>
        </w:tblPrEx>
        <w:trPr>
          <w:trHeight w:val="44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9"/>
              <w:rPr>
                <w:b/>
                <w:bCs/>
                <w:highlight w:val="none"/>
              </w:rPr>
            </w:pPr>
            <w:r>
              <w:rPr>
                <w:rFonts w:hint="eastAsia"/>
                <w:b/>
                <w:bCs/>
                <w:highlight w:val="none"/>
              </w:rPr>
              <w:t>对代理机构工作的其他建议：</w:t>
            </w: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rPr>
                <w:b/>
                <w:bCs/>
                <w:highlight w:val="none"/>
              </w:rPr>
            </w:pPr>
          </w:p>
          <w:p>
            <w:pPr>
              <w:pStyle w:val="49"/>
              <w:ind w:firstLine="4849" w:firstLineChars="2300"/>
              <w:rPr>
                <w:b/>
                <w:bCs/>
                <w:highlight w:val="none"/>
              </w:rPr>
            </w:pPr>
            <w:r>
              <w:rPr>
                <w:rFonts w:hint="eastAsia"/>
                <w:b/>
                <w:bCs/>
                <w:highlight w:val="none"/>
              </w:rPr>
              <w:t>供应商名称：</w:t>
            </w:r>
            <w:r>
              <w:rPr>
                <w:rFonts w:hint="eastAsia"/>
                <w:b/>
                <w:bCs/>
                <w:highlight w:val="none"/>
                <w:u w:val="single"/>
              </w:rPr>
              <w:t xml:space="preserve">                     </w:t>
            </w:r>
            <w:r>
              <w:rPr>
                <w:rFonts w:hint="eastAsia"/>
                <w:b/>
                <w:bCs/>
                <w:highlight w:val="none"/>
              </w:rPr>
              <w:t>(加盖鲜章)</w:t>
            </w:r>
          </w:p>
        </w:tc>
      </w:tr>
    </w:tbl>
    <w:p>
      <w:pPr>
        <w:pStyle w:val="53"/>
        <w:ind w:firstLine="482"/>
        <w:rPr>
          <w:highlight w:val="none"/>
        </w:rPr>
      </w:pPr>
      <w:r>
        <w:rPr>
          <w:rFonts w:hint="eastAsia"/>
          <w:highlight w:val="none"/>
        </w:rPr>
        <w:t>说明：请贵公司根据政府采购代理机构2021年度政府采购项目的实际情况，在“满意”、“基本满意”、“一般”、“不满意”四个评价档次栏中选取一栏打“√”，并加盖鲜章。</w:t>
      </w:r>
    </w:p>
    <w:p>
      <w:pPr>
        <w:rPr>
          <w:highlight w:val="none"/>
        </w:rPr>
      </w:pPr>
      <w:r>
        <w:rPr>
          <w:rFonts w:hint="eastAsia"/>
          <w:highlight w:val="none"/>
        </w:rPr>
        <w:br w:type="page"/>
      </w:r>
    </w:p>
    <w:p>
      <w:pPr>
        <w:pStyle w:val="29"/>
        <w:jc w:val="both"/>
        <w:rPr>
          <w:rFonts w:cs="宋体"/>
          <w:b/>
          <w:bCs/>
          <w:highlight w:val="none"/>
        </w:rPr>
      </w:pPr>
      <w:r>
        <w:rPr>
          <w:rFonts w:hint="eastAsia" w:cs="宋体"/>
          <w:b/>
          <w:bCs/>
          <w:highlight w:val="none"/>
        </w:rPr>
        <w:t>附件三：</w:t>
      </w:r>
    </w:p>
    <w:p>
      <w:pPr>
        <w:widowControl/>
        <w:spacing w:line="330" w:lineRule="atLeast"/>
        <w:jc w:val="center"/>
        <w:rPr>
          <w:rFonts w:cs="宋体"/>
          <w:kern w:val="0"/>
          <w:sz w:val="32"/>
          <w:szCs w:val="32"/>
          <w:highlight w:val="none"/>
        </w:rPr>
      </w:pPr>
      <w:r>
        <w:rPr>
          <w:rFonts w:hint="eastAsia" w:cs="宋体"/>
          <w:kern w:val="0"/>
          <w:sz w:val="32"/>
          <w:szCs w:val="32"/>
          <w:highlight w:val="none"/>
        </w:rPr>
        <w:t>统计上大中小微型企业划分标准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1444"/>
        <w:gridCol w:w="747"/>
        <w:gridCol w:w="1185"/>
        <w:gridCol w:w="1795"/>
        <w:gridCol w:w="150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行业名称</w:t>
            </w:r>
          </w:p>
        </w:tc>
        <w:tc>
          <w:tcPr>
            <w:tcW w:w="72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指标名称</w:t>
            </w:r>
          </w:p>
        </w:tc>
        <w:tc>
          <w:tcPr>
            <w:tcW w:w="37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计量</w:t>
            </w:r>
            <w:r>
              <w:rPr>
                <w:rFonts w:hint="eastAsia" w:cs="宋体"/>
                <w:b/>
                <w:bCs/>
                <w:kern w:val="0"/>
                <w:sz w:val="15"/>
                <w:szCs w:val="15"/>
                <w:highlight w:val="none"/>
              </w:rPr>
              <w:br w:type="textWrapping"/>
            </w:r>
            <w:r>
              <w:rPr>
                <w:rFonts w:hint="eastAsia" w:cs="宋体"/>
                <w:b/>
                <w:bCs/>
                <w:kern w:val="0"/>
                <w:sz w:val="15"/>
                <w:szCs w:val="15"/>
                <w:highlight w:val="none"/>
              </w:rPr>
              <w:t>单位</w:t>
            </w:r>
          </w:p>
        </w:tc>
        <w:tc>
          <w:tcPr>
            <w:tcW w:w="59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大型</w:t>
            </w:r>
          </w:p>
        </w:tc>
        <w:tc>
          <w:tcPr>
            <w:tcW w:w="901"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中型</w:t>
            </w:r>
          </w:p>
        </w:tc>
        <w:tc>
          <w:tcPr>
            <w:tcW w:w="75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小型</w:t>
            </w:r>
          </w:p>
        </w:tc>
        <w:tc>
          <w:tcPr>
            <w:tcW w:w="525" w:type="pct"/>
            <w:vAlign w:val="center"/>
          </w:tcPr>
          <w:p>
            <w:pPr>
              <w:widowControl/>
              <w:spacing w:line="240" w:lineRule="atLeast"/>
              <w:jc w:val="center"/>
              <w:rPr>
                <w:rFonts w:cs="宋体"/>
                <w:b/>
                <w:bCs/>
                <w:kern w:val="0"/>
                <w:sz w:val="15"/>
                <w:szCs w:val="15"/>
                <w:highlight w:val="none"/>
              </w:rPr>
            </w:pPr>
            <w:r>
              <w:rPr>
                <w:rFonts w:hint="eastAsia" w:cs="宋体"/>
                <w:b/>
                <w:bCs/>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kern w:val="0"/>
                <w:sz w:val="15"/>
                <w:szCs w:val="15"/>
                <w:highlight w:val="none"/>
              </w:rPr>
            </w:pPr>
            <w:r>
              <w:rPr>
                <w:rFonts w:hint="eastAsia" w:cs="宋体"/>
                <w:kern w:val="0"/>
                <w:sz w:val="15"/>
                <w:szCs w:val="15"/>
                <w:highlight w:val="none"/>
              </w:rPr>
              <w:t>农、林、牧、渔业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500≤Y＜20000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50≤Y＜500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工业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20≤X＜300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Y≥40000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2000≤Y＜40000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300≤Y＜2000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建筑业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Y≥80000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6000≤Y＜80000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300≤Y＜6000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资产总额(Z)</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Z≥80000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5000≤Z＜80000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300≤Z＜5000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批发业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20≤X＜200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5≤X＜20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Y≥40000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5000≤Y＜40000</w:t>
            </w:r>
          </w:p>
        </w:tc>
        <w:tc>
          <w:tcPr>
            <w:tcW w:w="755" w:type="pct"/>
            <w:vAlign w:val="center"/>
          </w:tcPr>
          <w:p>
            <w:pPr>
              <w:widowControl/>
              <w:spacing w:line="240" w:lineRule="atLeast"/>
              <w:ind w:left="-1" w:leftChars="-1" w:hanging="1"/>
              <w:jc w:val="center"/>
              <w:rPr>
                <w:rFonts w:cs="宋体"/>
                <w:kern w:val="0"/>
                <w:sz w:val="15"/>
                <w:szCs w:val="15"/>
                <w:highlight w:val="none"/>
              </w:rPr>
            </w:pPr>
            <w:r>
              <w:rPr>
                <w:rFonts w:hint="eastAsia" w:cs="宋体"/>
                <w:kern w:val="0"/>
                <w:sz w:val="15"/>
                <w:szCs w:val="15"/>
                <w:highlight w:val="none"/>
              </w:rPr>
              <w:t>1000≤Y＜5000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零售业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50≤X＜300</w:t>
            </w:r>
          </w:p>
        </w:tc>
        <w:tc>
          <w:tcPr>
            <w:tcW w:w="755" w:type="pct"/>
            <w:vAlign w:val="center"/>
          </w:tcPr>
          <w:p>
            <w:pPr>
              <w:widowControl/>
              <w:spacing w:line="240" w:lineRule="atLeast"/>
              <w:ind w:left="-1" w:leftChars="-1" w:hanging="1"/>
              <w:jc w:val="center"/>
              <w:rPr>
                <w:rFonts w:cs="宋体"/>
                <w:kern w:val="0"/>
                <w:sz w:val="15"/>
                <w:szCs w:val="15"/>
                <w:highlight w:val="none"/>
              </w:rPr>
            </w:pPr>
            <w:r>
              <w:rPr>
                <w:rFonts w:hint="eastAsia" w:cs="宋体"/>
                <w:kern w:val="0"/>
                <w:sz w:val="15"/>
                <w:szCs w:val="15"/>
                <w:highlight w:val="none"/>
              </w:rPr>
              <w:t xml:space="preserve">10≤X＜50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500≤Y＜20000</w:t>
            </w:r>
          </w:p>
        </w:tc>
        <w:tc>
          <w:tcPr>
            <w:tcW w:w="755" w:type="pct"/>
            <w:vAlign w:val="center"/>
          </w:tcPr>
          <w:p>
            <w:pPr>
              <w:widowControl/>
              <w:spacing w:line="240" w:lineRule="atLeast"/>
              <w:ind w:left="-1" w:leftChars="-1" w:hanging="1"/>
              <w:jc w:val="center"/>
              <w:rPr>
                <w:rFonts w:cs="宋体"/>
                <w:kern w:val="0"/>
                <w:sz w:val="15"/>
                <w:szCs w:val="15"/>
                <w:highlight w:val="none"/>
              </w:rPr>
            </w:pPr>
            <w:r>
              <w:rPr>
                <w:rFonts w:hint="eastAsia" w:cs="宋体"/>
                <w:kern w:val="0"/>
                <w:sz w:val="15"/>
                <w:szCs w:val="15"/>
                <w:highlight w:val="none"/>
              </w:rPr>
              <w:t xml:space="preserve">100≤Y＜500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交通运输业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20≤X＜300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3000≤Y＜30000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200≤Y＜3000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仓储业*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100≤X＜200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1000≤Y＜30000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邮政业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20≤X＜300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Y≥30000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2000≤Y＜30000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住宿业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餐饮业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2000≤Y＜10000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100≤Y＜2000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信息传输业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X≥2000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100≤X＜2000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1000≤Y＜100000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vAlign w:val="center"/>
          </w:tcPr>
          <w:p>
            <w:pPr>
              <w:widowControl/>
              <w:spacing w:line="240" w:lineRule="atLeast"/>
              <w:rPr>
                <w:rFonts w:cs="宋体"/>
                <w:spacing w:val="-12"/>
                <w:kern w:val="0"/>
                <w:sz w:val="15"/>
                <w:szCs w:val="15"/>
                <w:highlight w:val="none"/>
              </w:rPr>
            </w:pPr>
            <w:r>
              <w:rPr>
                <w:rFonts w:hint="eastAsia" w:cs="宋体"/>
                <w:spacing w:val="-12"/>
                <w:kern w:val="0"/>
                <w:sz w:val="15"/>
                <w:szCs w:val="15"/>
                <w:highlight w:val="none"/>
              </w:rPr>
              <w:t>软件和信息技术服</w:t>
            </w:r>
            <w:r>
              <w:rPr>
                <w:rFonts w:hint="eastAsia" w:cs="宋体"/>
                <w:kern w:val="0"/>
                <w:sz w:val="15"/>
                <w:szCs w:val="15"/>
                <w:highlight w:val="none"/>
              </w:rPr>
              <w:t>务业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vAlign w:val="center"/>
          </w:tcPr>
          <w:p>
            <w:pPr>
              <w:widowControl/>
              <w:spacing w:line="240" w:lineRule="atLeast"/>
              <w:rPr>
                <w:rFonts w:cs="宋体"/>
                <w:spacing w:val="-12"/>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1000≤Y＜10000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房地产开发经营</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Y≥200000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1000≤Y＜200000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资产总额(Z)</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Z≥10000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5000≤Z＜10000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2000≤Z＜5000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物业管理</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300≤X＜1000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100≤X＜300 </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营业收入(Y)</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1000≤Y＜5000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500≤Y＜1000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vAlign w:val="center"/>
          </w:tcPr>
          <w:p>
            <w:pPr>
              <w:widowControl/>
              <w:spacing w:line="240" w:lineRule="atLeast"/>
              <w:rPr>
                <w:rFonts w:cs="宋体"/>
                <w:kern w:val="0"/>
                <w:sz w:val="15"/>
                <w:szCs w:val="15"/>
                <w:highlight w:val="none"/>
              </w:rPr>
            </w:pPr>
            <w:r>
              <w:rPr>
                <w:rFonts w:hint="eastAsia" w:cs="宋体"/>
                <w:kern w:val="0"/>
                <w:sz w:val="15"/>
                <w:szCs w:val="15"/>
                <w:highlight w:val="none"/>
              </w:rPr>
              <w:t>租赁和商务服务业</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vAlign w:val="center"/>
          </w:tcPr>
          <w:p>
            <w:pPr>
              <w:widowControl/>
              <w:spacing w:line="240" w:lineRule="atLeast"/>
              <w:rPr>
                <w:rFonts w:cs="宋体"/>
                <w:kern w:val="0"/>
                <w:sz w:val="15"/>
                <w:szCs w:val="15"/>
                <w:highlight w:val="none"/>
              </w:rPr>
            </w:pP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资产总额(Z)</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万元</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Z≥120000</w:t>
            </w:r>
          </w:p>
        </w:tc>
        <w:tc>
          <w:tcPr>
            <w:tcW w:w="901"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8000≤Z＜120000</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100≤Z＜8000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kern w:val="0"/>
                <w:sz w:val="15"/>
                <w:szCs w:val="15"/>
                <w:highlight w:val="none"/>
              </w:rPr>
            </w:pPr>
            <w:r>
              <w:rPr>
                <w:rFonts w:hint="eastAsia" w:cs="宋体"/>
                <w:kern w:val="0"/>
                <w:sz w:val="15"/>
                <w:szCs w:val="15"/>
                <w:highlight w:val="none"/>
              </w:rPr>
              <w:t>其他未列明行业 *</w:t>
            </w:r>
          </w:p>
        </w:tc>
        <w:tc>
          <w:tcPr>
            <w:tcW w:w="7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从业人员(X)</w:t>
            </w:r>
          </w:p>
        </w:tc>
        <w:tc>
          <w:tcPr>
            <w:tcW w:w="37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人</w:t>
            </w:r>
          </w:p>
        </w:tc>
        <w:tc>
          <w:tcPr>
            <w:tcW w:w="59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kern w:val="0"/>
                <w:sz w:val="15"/>
                <w:szCs w:val="15"/>
                <w:highlight w:val="none"/>
              </w:rPr>
            </w:pPr>
            <w:r>
              <w:rPr>
                <w:rFonts w:hint="eastAsia" w:cs="宋体"/>
                <w:kern w:val="0"/>
                <w:sz w:val="15"/>
                <w:szCs w:val="15"/>
                <w:highlight w:val="none"/>
              </w:rPr>
              <w:t xml:space="preserve">100≤X＜300 </w:t>
            </w:r>
          </w:p>
        </w:tc>
        <w:tc>
          <w:tcPr>
            <w:tcW w:w="75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 xml:space="preserve"> 10≤X＜100</w:t>
            </w:r>
          </w:p>
        </w:tc>
        <w:tc>
          <w:tcPr>
            <w:tcW w:w="525" w:type="pct"/>
            <w:vAlign w:val="center"/>
          </w:tcPr>
          <w:p>
            <w:pPr>
              <w:widowControl/>
              <w:spacing w:line="240" w:lineRule="atLeast"/>
              <w:jc w:val="center"/>
              <w:rPr>
                <w:rFonts w:cs="宋体"/>
                <w:kern w:val="0"/>
                <w:sz w:val="15"/>
                <w:szCs w:val="15"/>
                <w:highlight w:val="none"/>
              </w:rPr>
            </w:pPr>
            <w:r>
              <w:rPr>
                <w:rFonts w:hint="eastAsia" w:cs="宋体"/>
                <w:kern w:val="0"/>
                <w:sz w:val="15"/>
                <w:szCs w:val="15"/>
                <w:highlight w:val="none"/>
              </w:rPr>
              <w:t>X＜10</w:t>
            </w:r>
          </w:p>
        </w:tc>
      </w:tr>
    </w:tbl>
    <w:p>
      <w:pPr>
        <w:widowControl/>
        <w:adjustRightInd/>
        <w:snapToGrid/>
        <w:ind w:firstLine="512" w:firstLineChars="200"/>
        <w:rPr>
          <w:rFonts w:cs="宋体"/>
          <w:spacing w:val="8"/>
          <w:kern w:val="0"/>
          <w:highlight w:val="none"/>
        </w:rPr>
      </w:pPr>
      <w:r>
        <w:rPr>
          <w:rFonts w:hint="eastAsia" w:cs="宋体"/>
          <w:spacing w:val="8"/>
          <w:kern w:val="0"/>
          <w:highlight w:val="none"/>
        </w:rPr>
        <w:t>说明：</w:t>
      </w:r>
    </w:p>
    <w:p>
      <w:pPr>
        <w:adjustRightInd/>
        <w:snapToGrid/>
        <w:ind w:firstLine="512" w:firstLineChars="200"/>
        <w:rPr>
          <w:rFonts w:cs="宋体"/>
          <w:spacing w:val="8"/>
          <w:kern w:val="0"/>
          <w:highlight w:val="none"/>
        </w:rPr>
      </w:pPr>
      <w:r>
        <w:rPr>
          <w:rFonts w:hint="eastAsia" w:cs="宋体"/>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spacing w:val="8"/>
          <w:kern w:val="0"/>
          <w:highlight w:val="none"/>
        </w:rPr>
      </w:pPr>
      <w:r>
        <w:rPr>
          <w:rFonts w:hint="eastAsia" w:cs="宋体"/>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highlight w:val="none"/>
        </w:rPr>
      </w:pPr>
      <w:r>
        <w:rPr>
          <w:rFonts w:hint="eastAsia" w:cs="宋体"/>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highlight w:val="none"/>
        </w:rPr>
        <w:br w:type="page"/>
      </w:r>
    </w:p>
    <w:p>
      <w:pPr>
        <w:widowControl/>
        <w:adjustRightInd/>
        <w:snapToGrid/>
        <w:rPr>
          <w:b/>
          <w:bCs/>
          <w:highlight w:val="none"/>
        </w:rPr>
      </w:pPr>
      <w:r>
        <w:rPr>
          <w:rFonts w:hint="eastAsia" w:cs="宋体"/>
          <w:b/>
          <w:bCs/>
          <w:highlight w:val="none"/>
        </w:rPr>
        <w:t>附件四：</w:t>
      </w:r>
      <w:r>
        <w:rPr>
          <w:rFonts w:hint="eastAsia"/>
          <w:b/>
          <w:bCs/>
          <w:highlight w:val="none"/>
        </w:rPr>
        <w:t>《四川省财政厅关于推进四川省政府采购供应商信用融资工作的通知》(川财采〔2018〕123号文)</w:t>
      </w:r>
    </w:p>
    <w:p>
      <w:pPr>
        <w:pStyle w:val="19"/>
        <w:widowControl/>
        <w:wordWrap w:val="0"/>
        <w:adjustRightInd/>
        <w:snapToGrid/>
        <w:spacing w:beforeAutospacing="0" w:afterAutospacing="0"/>
        <w:rPr>
          <w:rFonts w:cs="宋体"/>
          <w:b/>
          <w:bCs/>
          <w:highlight w:val="none"/>
        </w:rPr>
      </w:pPr>
      <w:r>
        <w:rPr>
          <w:rFonts w:hint="eastAsia"/>
          <w:b/>
          <w:bCs/>
          <w:highlight w:val="none"/>
        </w:rPr>
        <w:t>查询链接：</w:t>
      </w:r>
      <w:r>
        <w:rPr>
          <w:rFonts w:hint="eastAsia" w:cs="宋体"/>
          <w:b/>
          <w:bCs/>
          <w:highlight w:val="none"/>
        </w:rPr>
        <w:t>http：//www.ccgp-sichuan.gov.cn/view/staticpags/sjzcfg/40288687657ff75501672fd954532414.html</w:t>
      </w:r>
    </w:p>
    <w:p>
      <w:pPr>
        <w:widowControl/>
        <w:adjustRightInd/>
        <w:snapToGrid/>
        <w:rPr>
          <w:highlight w:val="none"/>
        </w:rPr>
      </w:pPr>
    </w:p>
    <w:p>
      <w:pPr>
        <w:widowControl/>
        <w:adjustRightInd/>
        <w:snapToGrid/>
        <w:spacing w:line="240" w:lineRule="auto"/>
        <w:jc w:val="center"/>
        <w:rPr>
          <w:rFonts w:cs="宋体"/>
          <w:highlight w:val="none"/>
        </w:rPr>
      </w:pPr>
      <w:r>
        <w:rPr>
          <w:rFonts w:hint="eastAsia" w:cs="宋体"/>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9"/>
        <w:widowControl/>
        <w:adjustRightInd/>
        <w:snapToGrid/>
        <w:spacing w:beforeAutospacing="0" w:afterAutospacing="0"/>
        <w:ind w:firstLine="480" w:firstLineChars="200"/>
        <w:rPr>
          <w:rFonts w:cs="宋体"/>
          <w:highlight w:val="none"/>
        </w:rPr>
      </w:pPr>
      <w:r>
        <w:rPr>
          <w:rFonts w:hint="eastAsia" w:cs="宋体"/>
          <w:highlight w:val="none"/>
        </w:rPr>
        <w:t>各市(州)、扩权县(市)财政局，各省直机关、事业单位、团体组织，各金融机构，各采购代理机构，各政府采购供应商：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一、融资概念</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二、基本原则</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(一)财政引导，市场运行</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财政部门推进“政采贷”，银行和供应商按照自愿原则参与。供应商自愿选择是否申请“政采贷”，银行依据其内部审查制度和决策程序决定是否为供应商提供融资，自担风险。</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(二)建立机制，服务银企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财政部门与银行建立“政采贷”工作机制，推动政府采购政策功能和金融资源的有机结合，拓宽银行的融资业务，助力解决政府采购中标、中标人资金不足、融资难、融资贵的困难，促进企业健康发展。</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(三)优质优惠，加强扶持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三、基本条件</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(一)银行暨“政采贷”金融产品</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1、征集。</w:t>
      </w:r>
      <w:r>
        <w:rPr>
          <w:rFonts w:hint="eastAsia" w:cs="宋体"/>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申请材料应当包括银行基本情况、“政采贷”产品名称、申请贷款条件、申请贷款方式、申请贷款程序、贷款审查流程、贷款额度、发放贷款时间、收款方式及其他优质服务和优惠承诺等。</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银行提供的“政采贷”产品应当满足“无抵押担保、程序简便、利率优惠、放款及时”的基本条件以及本通知其他相关规定。</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银行申请材料中应当载明其自愿提供“政采贷”产品，自担风险，不得要求或者变相要求财政部门和采购人为其提供风险担保、承诺。</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2、公示。</w:t>
      </w:r>
      <w:r>
        <w:rPr>
          <w:rFonts w:hint="eastAsia" w:cs="宋体"/>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(二)供应商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政府采购供应商向银行申请“政采贷”，应当满足下列基本条件：</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1、</w:t>
      </w:r>
      <w:r>
        <w:rPr>
          <w:rFonts w:hint="eastAsia" w:cs="宋体"/>
          <w:highlight w:val="none"/>
        </w:rPr>
        <w:t>具有依法承担民事责任的能力；</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2、</w:t>
      </w:r>
      <w:r>
        <w:rPr>
          <w:rFonts w:hint="eastAsia" w:cs="宋体"/>
          <w:highlight w:val="none"/>
        </w:rPr>
        <w:t>具有依法履行政府采购合同的能力；</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3、</w:t>
      </w:r>
      <w:r>
        <w:rPr>
          <w:rFonts w:hint="eastAsia" w:cs="宋体"/>
          <w:highlight w:val="none"/>
        </w:rPr>
        <w:t>参加的政府采购活动未被财政部门依法暂停、责令重新开展或者认定中标、成交无效；</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4、</w:t>
      </w:r>
      <w:r>
        <w:rPr>
          <w:rFonts w:hint="eastAsia" w:cs="宋体"/>
          <w:highlight w:val="none"/>
        </w:rPr>
        <w:t>无《政府采购法》第二十二条第一款第(五)项所称的重大违法记录；</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5、</w:t>
      </w:r>
      <w:r>
        <w:rPr>
          <w:rFonts w:hint="eastAsia" w:cs="宋体"/>
          <w:highlight w:val="none"/>
        </w:rPr>
        <w:t>未被法院、市场监管、税务、银行等部门单位纳入失信名单且在有效期内；</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6、</w:t>
      </w:r>
      <w:r>
        <w:rPr>
          <w:rFonts w:hint="eastAsia" w:cs="宋体"/>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7、</w:t>
      </w:r>
      <w:r>
        <w:rPr>
          <w:rFonts w:hint="eastAsia" w:cs="宋体"/>
          <w:highlight w:val="none"/>
        </w:rPr>
        <w:t>其他银行要求的不属于提供财产抵押或第三方担保的条件。</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四、构建平台</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四川省财政厅将在“四川政府采购网”统一构建四川省“政采贷”信息化服务平台，推进四川省“政采贷”工作信息化建设。</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五、财金互动</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六、基本流程</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(一)意向申请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9"/>
        <w:widowControl/>
        <w:adjustRightInd/>
        <w:snapToGrid/>
        <w:spacing w:beforeAutospacing="0" w:afterAutospacing="0"/>
        <w:ind w:firstLine="482" w:firstLineChars="200"/>
        <w:rPr>
          <w:rFonts w:cs="宋体"/>
          <w:b/>
          <w:highlight w:val="none"/>
        </w:rPr>
      </w:pPr>
      <w:r>
        <w:rPr>
          <w:rFonts w:hint="eastAsia" w:cs="宋体"/>
          <w:b/>
          <w:highlight w:val="none"/>
        </w:rPr>
        <w:t>(二)正式申请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(三)贷款审查</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(四)信息报送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(五)资金支付</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政府采购资金支付过程中，银行需要查询采购资金支付进程有关信息的，财政部门和采购人应当支持。</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七、职责要求</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w:t>
      </w:r>
      <w:r>
        <w:rPr>
          <w:rFonts w:hint="eastAsia" w:cs="宋体"/>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w:t>
      </w:r>
      <w:r>
        <w:rPr>
          <w:rFonts w:hint="eastAsia" w:cs="宋体"/>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w:t>
      </w:r>
      <w:r>
        <w:rPr>
          <w:rFonts w:hint="eastAsia" w:cs="宋体"/>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(四)</w:t>
      </w:r>
      <w:r>
        <w:rPr>
          <w:rFonts w:hint="eastAsia" w:cs="宋体"/>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(五)</w:t>
      </w:r>
      <w:r>
        <w:rPr>
          <w:rFonts w:hint="eastAsia" w:cs="宋体"/>
          <w:highlight w:val="none"/>
        </w:rPr>
        <w:t>供应商应当依法参加政府采购活动，公平竞争，诚实守信，严格按照政府采购合同履约，严格按照借款合同偿还债务。</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(六)</w:t>
      </w:r>
      <w:r>
        <w:rPr>
          <w:rFonts w:hint="eastAsia" w:cs="宋体"/>
          <w:highlight w:val="none"/>
        </w:rPr>
        <w:t>财政部门、采购人、采购代理机构及其他有关单位和个人不得违规干预供应商选择“政采贷”银行及其产品，也不得违规干预银行向供应商进行贷款。</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(七)</w:t>
      </w:r>
      <w:r>
        <w:rPr>
          <w:rFonts w:hint="eastAsia" w:cs="宋体"/>
          <w:highlight w:val="none"/>
        </w:rPr>
        <w:t>相关单位和个人在开展“政采贷”工作过程中，发现新问题、新情况或者有意见建议的，请及时向四川省财政厅反馈。</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八、违规处理</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(一)银行违规处理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(二)供应商违规处理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19"/>
        <w:widowControl/>
        <w:adjustRightInd/>
        <w:snapToGrid/>
        <w:spacing w:beforeAutospacing="0" w:afterAutospacing="0"/>
        <w:ind w:firstLine="482" w:firstLineChars="200"/>
        <w:rPr>
          <w:rFonts w:cs="宋体"/>
          <w:highlight w:val="none"/>
        </w:rPr>
      </w:pPr>
      <w:r>
        <w:rPr>
          <w:rFonts w:hint="eastAsia" w:cs="宋体"/>
          <w:b/>
          <w:highlight w:val="none"/>
        </w:rPr>
        <w:t>(三)其他违规处理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widowControl/>
        <w:adjustRightInd/>
        <w:snapToGrid/>
        <w:spacing w:beforeAutospacing="0" w:afterAutospacing="0"/>
        <w:ind w:firstLine="480" w:firstLineChars="200"/>
        <w:rPr>
          <w:rFonts w:cs="宋体"/>
          <w:highlight w:val="none"/>
        </w:rPr>
      </w:pPr>
      <w:r>
        <w:rPr>
          <w:rFonts w:hint="eastAsia" w:cs="宋体"/>
          <w:highlight w:val="none"/>
        </w:rPr>
        <w:t> </w:t>
      </w:r>
    </w:p>
    <w:p>
      <w:pPr>
        <w:rPr>
          <w:rFonts w:cs="宋体"/>
          <w:highlight w:val="none"/>
        </w:rPr>
      </w:pPr>
      <w:r>
        <w:rPr>
          <w:rFonts w:hint="eastAsia" w:cs="宋体"/>
          <w:kern w:val="0"/>
          <w:highlight w:val="none"/>
          <w:lang w:bidi="ar"/>
        </w:rPr>
        <w:drawing>
          <wp:anchor distT="0" distB="0" distL="114300" distR="114300" simplePos="0" relativeHeight="251664384"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cs="宋体"/>
          <w:highlight w:val="none"/>
        </w:rPr>
        <w:br w:type="page"/>
      </w:r>
    </w:p>
    <w:p>
      <w:pPr>
        <w:widowControl/>
        <w:adjustRightInd/>
        <w:snapToGrid/>
        <w:rPr>
          <w:rFonts w:cs="宋体"/>
          <w:b/>
          <w:bCs/>
          <w:highlight w:val="none"/>
        </w:rPr>
      </w:pPr>
      <w:r>
        <w:rPr>
          <w:rFonts w:hint="eastAsia" w:cs="宋体"/>
          <w:b/>
          <w:bCs/>
          <w:highlight w:val="none"/>
        </w:rPr>
        <w:t>附件五：成都市财政局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highlight w:val="none"/>
        </w:rPr>
      </w:pPr>
      <w:r>
        <w:rPr>
          <w:rFonts w:hint="eastAsia" w:cs="宋体"/>
          <w:b/>
          <w:bCs/>
          <w:highlight w:val="none"/>
        </w:rPr>
        <w:t>查询链接：</w:t>
      </w:r>
      <w:r>
        <w:rPr>
          <w:highlight w:val="none"/>
        </w:rPr>
        <w:fldChar w:fldCharType="begin"/>
      </w:r>
      <w:r>
        <w:rPr>
          <w:highlight w:val="none"/>
        </w:rPr>
        <w:instrText xml:space="preserve"> HYPERLINK "http://cdcz.chengdu.gov.cn/cdsczj/c116726/2019-03/13/content_7d81ae9c2a1e48968c7839a9c5b88ccd.shtml" </w:instrText>
      </w:r>
      <w:r>
        <w:rPr>
          <w:highlight w:val="none"/>
        </w:rPr>
        <w:fldChar w:fldCharType="separate"/>
      </w:r>
      <w:r>
        <w:rPr>
          <w:rStyle w:val="26"/>
          <w:rFonts w:hint="eastAsia" w:cs="宋体"/>
          <w:b/>
          <w:bCs/>
          <w:color w:val="auto"/>
          <w:highlight w:val="none"/>
        </w:rPr>
        <w:t>http：//cdcz.chengdu.gov.cn/cdsczj/c116726/2019-03/13/content_7d81ae9c2a1e48968c7839a9c5b88ccd.shtml</w:t>
      </w:r>
      <w:r>
        <w:rPr>
          <w:rStyle w:val="26"/>
          <w:rFonts w:hint="eastAsia" w:cs="宋体"/>
          <w:b/>
          <w:bCs/>
          <w:color w:val="auto"/>
          <w:highlight w:val="none"/>
        </w:rPr>
        <w:fldChar w:fldCharType="end"/>
      </w:r>
    </w:p>
    <w:p>
      <w:pPr>
        <w:widowControl/>
        <w:wordWrap w:val="0"/>
        <w:adjustRightInd/>
        <w:snapToGrid/>
        <w:rPr>
          <w:rFonts w:cs="宋体"/>
          <w:b/>
          <w:bCs/>
          <w:highlight w:val="none"/>
        </w:rPr>
      </w:pPr>
    </w:p>
    <w:tbl>
      <w:tblPr>
        <w:tblStyle w:val="22"/>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sz w:val="66"/>
                <w:szCs w:val="66"/>
                <w:highlight w:val="none"/>
              </w:rPr>
            </w:pPr>
            <w:r>
              <w:rPr>
                <w:rFonts w:hint="eastAsia" w:eastAsia="方正小标宋简体"/>
                <w:sz w:val="66"/>
                <w:szCs w:val="66"/>
                <w:highlight w:val="none"/>
              </w:rPr>
              <w:t>成都市财政局</w:t>
            </w:r>
          </w:p>
        </w:tc>
        <w:tc>
          <w:tcPr>
            <w:tcW w:w="1580" w:type="dxa"/>
            <w:vMerge w:val="restart"/>
            <w:vAlign w:val="center"/>
          </w:tcPr>
          <w:p>
            <w:pPr>
              <w:spacing w:line="240" w:lineRule="auto"/>
              <w:jc w:val="center"/>
              <w:rPr>
                <w:rFonts w:eastAsia="方正小标宋简体"/>
                <w:sz w:val="66"/>
                <w:szCs w:val="66"/>
                <w:highlight w:val="none"/>
              </w:rPr>
            </w:pPr>
            <w:r>
              <w:rPr>
                <w:rFonts w:hint="eastAsia" w:eastAsia="方正小标宋简体"/>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spacing w:val="-20"/>
                <w:w w:val="82"/>
                <w:sz w:val="62"/>
                <w:szCs w:val="62"/>
                <w:highlight w:val="none"/>
              </w:rPr>
            </w:pPr>
            <w:r>
              <w:rPr>
                <w:rFonts w:hint="eastAsia" w:eastAsia="方正小标宋简体"/>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sz w:val="66"/>
                <w:szCs w:val="66"/>
                <w:highlight w:val="none"/>
              </w:rPr>
            </w:pPr>
          </w:p>
        </w:tc>
      </w:tr>
    </w:tbl>
    <w:p>
      <w:pPr>
        <w:jc w:val="center"/>
        <w:rPr>
          <w:rFonts w:eastAsia="方正仿宋_GBK"/>
          <w:highlight w:val="none"/>
        </w:rPr>
      </w:pPr>
    </w:p>
    <w:p>
      <w:pPr>
        <w:jc w:val="center"/>
        <w:rPr>
          <w:rFonts w:eastAsia="方正仿宋_GBK"/>
          <w:highlight w:val="none"/>
        </w:rPr>
      </w:pPr>
      <w:r>
        <w:rPr>
          <w:rFonts w:eastAsia="方正仿宋_GBK"/>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5408;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highlight w:val="none"/>
        </w:rPr>
        <w:t>成财</w:t>
      </w:r>
      <w:r>
        <w:rPr>
          <w:rFonts w:hint="eastAsia" w:eastAsia="方正仿宋_GBK"/>
          <w:highlight w:val="none"/>
        </w:rPr>
        <w:t>采</w:t>
      </w:r>
      <w:r>
        <w:rPr>
          <w:rFonts w:eastAsia="方正仿宋_GBK"/>
          <w:highlight w:val="none"/>
        </w:rPr>
        <w:t>〔201</w:t>
      </w:r>
      <w:r>
        <w:rPr>
          <w:rFonts w:hint="eastAsia" w:eastAsia="方正仿宋_GBK"/>
          <w:highlight w:val="none"/>
        </w:rPr>
        <w:t>9</w:t>
      </w:r>
      <w:r>
        <w:rPr>
          <w:rFonts w:eastAsia="方正仿宋_GBK"/>
          <w:highlight w:val="none"/>
        </w:rPr>
        <w:t>〕</w:t>
      </w:r>
      <w:r>
        <w:rPr>
          <w:rFonts w:hint="eastAsia" w:eastAsia="方正仿宋_GBK"/>
          <w:highlight w:val="none"/>
        </w:rPr>
        <w:t>17</w:t>
      </w:r>
      <w:r>
        <w:rPr>
          <w:rFonts w:eastAsia="方正仿宋_GBK"/>
          <w:highlight w:val="none"/>
        </w:rPr>
        <w:t>号</w:t>
      </w:r>
    </w:p>
    <w:p>
      <w:pPr>
        <w:topLinePunct/>
        <w:jc w:val="center"/>
        <w:rPr>
          <w:rFonts w:ascii="方正小标宋_GBK" w:hAnsi="方正小标宋_GBK" w:eastAsia="方正小标宋_GBK"/>
          <w:highlight w:val="none"/>
        </w:rPr>
      </w:pPr>
    </w:p>
    <w:p>
      <w:pPr>
        <w:topLinePunct/>
        <w:jc w:val="center"/>
        <w:rPr>
          <w:rFonts w:ascii="方正小标宋_GBK" w:hAnsi="方正小标宋_GBK" w:eastAsia="方正小标宋_GBK"/>
          <w:spacing w:val="-18"/>
          <w:sz w:val="40"/>
          <w:szCs w:val="40"/>
          <w:highlight w:val="none"/>
        </w:rPr>
      </w:pPr>
      <w:r>
        <w:rPr>
          <w:rFonts w:hint="eastAsia" w:ascii="方正小标宋_GBK" w:hAnsi="方正小标宋_GBK" w:eastAsia="方正小标宋_GBK"/>
          <w:spacing w:val="-18"/>
          <w:sz w:val="40"/>
          <w:szCs w:val="40"/>
          <w:highlight w:val="none"/>
        </w:rPr>
        <w:t>成都市财政局  中国人民银行成都分行营业管理部</w:t>
      </w:r>
    </w:p>
    <w:p>
      <w:pPr>
        <w:topLinePunct/>
        <w:jc w:val="center"/>
        <w:rPr>
          <w:rFonts w:ascii="方正小标宋_GBK" w:hAnsi="方正小标宋_GBK" w:eastAsia="方正小标宋_GBK"/>
          <w:sz w:val="40"/>
          <w:szCs w:val="40"/>
          <w:highlight w:val="none"/>
        </w:rPr>
      </w:pPr>
      <w:r>
        <w:rPr>
          <w:rFonts w:hint="eastAsia" w:ascii="方正小标宋_GBK" w:hAnsi="方正小标宋_GBK" w:eastAsia="方正小标宋_GBK"/>
          <w:sz w:val="40"/>
          <w:szCs w:val="40"/>
          <w:highlight w:val="none"/>
        </w:rPr>
        <w:t>关于印发《成都市中小企业政府采购信用融资</w:t>
      </w:r>
    </w:p>
    <w:p>
      <w:pPr>
        <w:topLinePunct/>
        <w:jc w:val="center"/>
        <w:rPr>
          <w:rFonts w:ascii="方正小标宋_GBK" w:hAnsi="方正小标宋_GBK" w:eastAsia="方正小标宋_GBK"/>
          <w:sz w:val="40"/>
          <w:szCs w:val="40"/>
          <w:highlight w:val="none"/>
        </w:rPr>
      </w:pPr>
      <w:r>
        <w:rPr>
          <w:rFonts w:hint="eastAsia" w:ascii="方正小标宋_GBK" w:hAnsi="方正小标宋_GBK" w:eastAsia="方正小标宋_GBK"/>
          <w:sz w:val="40"/>
          <w:szCs w:val="40"/>
          <w:highlight w:val="none"/>
        </w:rPr>
        <w:t>暂行办法》和《成都市级支持中小企业</w:t>
      </w:r>
    </w:p>
    <w:p>
      <w:pPr>
        <w:topLinePunct/>
        <w:jc w:val="center"/>
        <w:rPr>
          <w:rFonts w:ascii="方正小标宋_GBK" w:hAnsi="方正小标宋_GBK" w:eastAsia="方正小标宋_GBK"/>
          <w:sz w:val="40"/>
          <w:szCs w:val="40"/>
          <w:highlight w:val="none"/>
        </w:rPr>
      </w:pPr>
      <w:r>
        <w:rPr>
          <w:rFonts w:hint="eastAsia" w:ascii="方正小标宋_GBK" w:hAnsi="方正小标宋_GBK" w:eastAsia="方正小标宋_GBK"/>
          <w:sz w:val="40"/>
          <w:szCs w:val="40"/>
          <w:highlight w:val="none"/>
        </w:rPr>
        <w:t>政府采购信用融资实施方案》的通知</w:t>
      </w:r>
    </w:p>
    <w:p>
      <w:pPr>
        <w:jc w:val="center"/>
        <w:rPr>
          <w:rFonts w:eastAsia="方正仿宋_GBK"/>
          <w:highlight w:val="none"/>
        </w:rPr>
      </w:pPr>
    </w:p>
    <w:p>
      <w:pPr>
        <w:widowControl/>
        <w:adjustRightInd/>
        <w:snapToGrid/>
        <w:ind w:firstLine="480" w:firstLineChars="200"/>
        <w:rPr>
          <w:rFonts w:cs="宋体"/>
          <w:highlight w:val="none"/>
        </w:rPr>
      </w:pPr>
      <w:r>
        <w:rPr>
          <w:rFonts w:hint="eastAsia" w:cs="宋体"/>
          <w:highlight w:val="none"/>
        </w:rPr>
        <w:t>成都天府新区、高新区财政金融局，各区(市)县财政局，市级各部门、单位，各银行业金融机构：</w:t>
      </w:r>
    </w:p>
    <w:p>
      <w:pPr>
        <w:widowControl/>
        <w:adjustRightInd/>
        <w:snapToGrid/>
        <w:ind w:firstLine="480" w:firstLineChars="200"/>
        <w:rPr>
          <w:rFonts w:cs="宋体"/>
          <w:highlight w:val="none"/>
        </w:rPr>
      </w:pPr>
      <w:r>
        <w:rPr>
          <w:rFonts w:hint="eastAsia" w:cs="宋体"/>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highlight w:val="none"/>
        </w:rPr>
      </w:pPr>
      <w:r>
        <w:rPr>
          <w:rFonts w:hint="eastAsia" w:cs="宋体"/>
          <w:highlight w:val="none"/>
        </w:rPr>
        <w:t>一、高度重视、迅速行动</w:t>
      </w:r>
    </w:p>
    <w:p>
      <w:pPr>
        <w:widowControl/>
        <w:adjustRightInd/>
        <w:snapToGrid/>
        <w:ind w:firstLine="480" w:firstLineChars="200"/>
        <w:rPr>
          <w:rFonts w:cs="宋体"/>
          <w:highlight w:val="none"/>
        </w:rPr>
      </w:pPr>
      <w:r>
        <w:rPr>
          <w:rFonts w:hint="eastAsia" w:cs="宋体"/>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highlight w:val="none"/>
        </w:rPr>
      </w:pPr>
      <w:r>
        <w:rPr>
          <w:rFonts w:hint="eastAsia" w:cs="宋体"/>
          <w:highlight w:val="none"/>
        </w:rPr>
        <w:t>二、明确责任、压茬推进</w:t>
      </w:r>
    </w:p>
    <w:p>
      <w:pPr>
        <w:widowControl/>
        <w:adjustRightInd/>
        <w:snapToGrid/>
        <w:ind w:firstLine="480" w:firstLineChars="200"/>
        <w:rPr>
          <w:rFonts w:cs="宋体"/>
          <w:highlight w:val="none"/>
        </w:rPr>
      </w:pPr>
      <w:r>
        <w:rPr>
          <w:rFonts w:hint="eastAsia" w:cs="宋体"/>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highlight w:val="none"/>
        </w:rPr>
      </w:pPr>
      <w:r>
        <w:rPr>
          <w:rFonts w:hint="eastAsia" w:cs="宋体"/>
          <w:highlight w:val="none"/>
        </w:rPr>
        <w:t>三、优化服务、营造氛围</w:t>
      </w:r>
    </w:p>
    <w:p>
      <w:pPr>
        <w:widowControl/>
        <w:adjustRightInd/>
        <w:snapToGrid/>
        <w:ind w:firstLine="480" w:firstLineChars="200"/>
        <w:rPr>
          <w:rFonts w:cs="宋体"/>
          <w:highlight w:val="none"/>
        </w:rPr>
      </w:pPr>
      <w:r>
        <w:rPr>
          <w:rFonts w:hint="eastAsia" w:cs="宋体"/>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highlight w:val="none"/>
        </w:rPr>
      </w:pPr>
    </w:p>
    <w:p>
      <w:pPr>
        <w:widowControl/>
        <w:adjustRightInd/>
        <w:snapToGrid/>
        <w:ind w:firstLine="480" w:firstLineChars="200"/>
        <w:rPr>
          <w:rFonts w:cs="宋体"/>
          <w:highlight w:val="none"/>
        </w:rPr>
      </w:pPr>
      <w:r>
        <w:rPr>
          <w:rFonts w:hint="eastAsia" w:cs="宋体"/>
          <w:highlight w:val="none"/>
        </w:rPr>
        <w:t xml:space="preserve">附件：1．成都市中小企业政府采购信用融资暂行办法 </w:t>
      </w:r>
    </w:p>
    <w:p>
      <w:pPr>
        <w:widowControl/>
        <w:adjustRightInd/>
        <w:snapToGrid/>
        <w:ind w:firstLine="480" w:firstLineChars="200"/>
        <w:rPr>
          <w:rFonts w:cs="宋体"/>
          <w:highlight w:val="none"/>
        </w:rPr>
      </w:pPr>
      <w:r>
        <w:rPr>
          <w:rFonts w:hint="eastAsia" w:cs="宋体"/>
          <w:highlight w:val="none"/>
        </w:rPr>
        <w:t>2．成都市级支持中小企业政府采购信用融资实施方案</w:t>
      </w:r>
    </w:p>
    <w:p>
      <w:pPr>
        <w:pStyle w:val="13"/>
        <w:widowControl/>
        <w:topLinePunct/>
        <w:adjustRightInd/>
        <w:snapToGrid/>
        <w:ind w:firstLine="480" w:firstLineChars="200"/>
        <w:rPr>
          <w:rFonts w:ascii="宋体" w:eastAsia="宋体" w:cs="宋体"/>
          <w:sz w:val="24"/>
          <w:highlight w:val="none"/>
        </w:rPr>
      </w:pPr>
    </w:p>
    <w:p>
      <w:pPr>
        <w:pStyle w:val="13"/>
        <w:widowControl/>
        <w:topLinePunct/>
        <w:adjustRightInd/>
        <w:snapToGrid/>
        <w:ind w:firstLine="480" w:firstLineChars="200"/>
        <w:rPr>
          <w:rFonts w:ascii="宋体" w:eastAsia="宋体" w:cs="宋体"/>
          <w:sz w:val="24"/>
          <w:highlight w:val="none"/>
        </w:rPr>
      </w:pPr>
    </w:p>
    <w:p>
      <w:pPr>
        <w:pStyle w:val="13"/>
        <w:widowControl/>
        <w:topLinePunct/>
        <w:adjustRightInd/>
        <w:snapToGrid/>
        <w:ind w:firstLine="480" w:firstLineChars="200"/>
        <w:rPr>
          <w:rFonts w:ascii="宋体" w:eastAsia="宋体" w:cs="宋体"/>
          <w:sz w:val="24"/>
          <w:highlight w:val="none"/>
        </w:rPr>
      </w:pPr>
    </w:p>
    <w:p>
      <w:pPr>
        <w:widowControl/>
        <w:tabs>
          <w:tab w:val="left" w:pos="7584"/>
          <w:tab w:val="clear" w:pos="0"/>
        </w:tabs>
        <w:topLinePunct/>
        <w:adjustRightInd/>
        <w:snapToGrid/>
        <w:ind w:firstLine="480" w:firstLineChars="200"/>
        <w:jc w:val="right"/>
        <w:rPr>
          <w:rFonts w:cs="宋体"/>
          <w:highlight w:val="none"/>
        </w:rPr>
      </w:pPr>
      <w:r>
        <w:rPr>
          <w:rFonts w:hint="eastAsia" w:cs="宋体"/>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highlight w:val="none"/>
        </w:rPr>
      </w:pPr>
      <w:r>
        <w:rPr>
          <w:rFonts w:hint="eastAsia" w:cs="宋体"/>
          <w:highlight w:val="none"/>
        </w:rPr>
        <w:t>2019年2月26日</w:t>
      </w:r>
    </w:p>
    <w:p>
      <w:pPr>
        <w:rPr>
          <w:rFonts w:cs="宋体"/>
          <w:highlight w:val="none"/>
        </w:rPr>
      </w:pPr>
      <w:r>
        <w:rPr>
          <w:rFonts w:hint="eastAsia" w:cs="宋体"/>
          <w:highlight w:val="none"/>
        </w:rPr>
        <w:br w:type="page"/>
      </w:r>
    </w:p>
    <w:p>
      <w:pPr>
        <w:topLinePunct/>
        <w:adjustRightInd/>
        <w:rPr>
          <w:rFonts w:cs="宋体"/>
          <w:highlight w:val="none"/>
        </w:rPr>
      </w:pPr>
      <w:r>
        <w:rPr>
          <w:rFonts w:hint="eastAsia" w:cs="宋体"/>
          <w:highlight w:val="none"/>
        </w:rPr>
        <w:t>附件1</w:t>
      </w:r>
    </w:p>
    <w:p>
      <w:pPr>
        <w:topLinePunct/>
        <w:adjustRightInd/>
        <w:rPr>
          <w:rFonts w:cs="宋体"/>
          <w:highlight w:val="none"/>
        </w:rPr>
      </w:pPr>
    </w:p>
    <w:p>
      <w:pPr>
        <w:topLinePunct/>
        <w:adjustRightInd/>
        <w:jc w:val="center"/>
        <w:rPr>
          <w:rFonts w:cs="宋体"/>
          <w:highlight w:val="none"/>
        </w:rPr>
      </w:pPr>
      <w:r>
        <w:rPr>
          <w:rFonts w:hint="eastAsia" w:cs="宋体"/>
          <w:highlight w:val="none"/>
        </w:rPr>
        <w:t>成都市中小企业政府采购信用融资暂行办法</w:t>
      </w:r>
    </w:p>
    <w:p>
      <w:pPr>
        <w:topLinePunct/>
        <w:adjustRightInd/>
        <w:jc w:val="center"/>
        <w:rPr>
          <w:rFonts w:cs="宋体"/>
          <w:highlight w:val="none"/>
        </w:rPr>
      </w:pPr>
      <w:r>
        <w:rPr>
          <w:rFonts w:hint="eastAsia" w:cs="宋体"/>
          <w:highlight w:val="none"/>
        </w:rPr>
        <w:t>第一章  总  则</w:t>
      </w:r>
    </w:p>
    <w:p>
      <w:pPr>
        <w:topLinePunct/>
        <w:adjustRightInd/>
        <w:ind w:firstLine="480" w:firstLineChars="200"/>
        <w:rPr>
          <w:rFonts w:cs="宋体"/>
          <w:highlight w:val="none"/>
        </w:rPr>
      </w:pPr>
      <w:r>
        <w:rPr>
          <w:rFonts w:hint="eastAsia" w:cs="宋体"/>
          <w:highlight w:val="none"/>
        </w:rPr>
        <w:t>第一条(政策依据)</w:t>
      </w:r>
    </w:p>
    <w:p>
      <w:pPr>
        <w:topLinePunct/>
        <w:adjustRightInd/>
        <w:ind w:firstLine="480" w:firstLineChars="200"/>
        <w:rPr>
          <w:rFonts w:cs="宋体"/>
          <w:highlight w:val="none"/>
        </w:rPr>
      </w:pPr>
      <w:r>
        <w:rPr>
          <w:rFonts w:hint="eastAsia" w:cs="宋体"/>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highlight w:val="none"/>
        </w:rPr>
      </w:pPr>
      <w:r>
        <w:rPr>
          <w:rFonts w:hint="eastAsia" w:cs="宋体"/>
          <w:highlight w:val="none"/>
        </w:rPr>
        <w:t>第二条(适用范围)</w:t>
      </w:r>
    </w:p>
    <w:p>
      <w:pPr>
        <w:topLinePunct/>
        <w:adjustRightInd/>
        <w:ind w:firstLine="480" w:firstLineChars="200"/>
        <w:rPr>
          <w:rFonts w:cs="宋体"/>
          <w:highlight w:val="none"/>
        </w:rPr>
      </w:pPr>
      <w:r>
        <w:rPr>
          <w:rFonts w:hint="eastAsia" w:cs="宋体"/>
          <w:highlight w:val="none"/>
        </w:rPr>
        <w:t>成都市行政区域内政府采购信用融资适用本办法。</w:t>
      </w:r>
    </w:p>
    <w:p>
      <w:pPr>
        <w:topLinePunct/>
        <w:adjustRightInd/>
        <w:ind w:firstLine="480" w:firstLineChars="200"/>
        <w:rPr>
          <w:rFonts w:cs="宋体"/>
          <w:highlight w:val="none"/>
        </w:rPr>
      </w:pPr>
      <w:r>
        <w:rPr>
          <w:rFonts w:hint="eastAsia" w:cs="宋体"/>
          <w:highlight w:val="none"/>
        </w:rPr>
        <w:t>第三条(术语定义)</w:t>
      </w:r>
    </w:p>
    <w:p>
      <w:pPr>
        <w:topLinePunct/>
        <w:adjustRightInd/>
        <w:ind w:firstLine="480" w:firstLineChars="200"/>
        <w:rPr>
          <w:rFonts w:cs="宋体"/>
          <w:highlight w:val="none"/>
        </w:rPr>
      </w:pPr>
      <w:r>
        <w:rPr>
          <w:rFonts w:hint="eastAsia" w:cs="宋体"/>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highlight w:val="none"/>
        </w:rPr>
      </w:pPr>
      <w:r>
        <w:rPr>
          <w:rFonts w:hint="eastAsia" w:cs="宋体"/>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highlight w:val="none"/>
        </w:rPr>
      </w:pPr>
      <w:r>
        <w:rPr>
          <w:rFonts w:hint="eastAsia" w:cs="宋体"/>
          <w:highlight w:val="none"/>
        </w:rPr>
        <w:t>本办法所称中小企业，包括中型、小型及微型企业，其划型标准按照国家相关规定执行。</w:t>
      </w:r>
    </w:p>
    <w:p>
      <w:pPr>
        <w:topLinePunct/>
        <w:adjustRightInd/>
        <w:ind w:firstLine="480" w:firstLineChars="200"/>
        <w:rPr>
          <w:rFonts w:cs="宋体"/>
          <w:highlight w:val="none"/>
        </w:rPr>
      </w:pPr>
      <w:r>
        <w:rPr>
          <w:rFonts w:hint="eastAsia" w:cs="宋体"/>
          <w:highlight w:val="none"/>
        </w:rPr>
        <w:t>第四条(基本原则)</w:t>
      </w:r>
    </w:p>
    <w:p>
      <w:pPr>
        <w:topLinePunct/>
        <w:adjustRightInd/>
        <w:ind w:firstLine="480" w:firstLineChars="200"/>
        <w:rPr>
          <w:rFonts w:cs="宋体"/>
          <w:highlight w:val="none"/>
        </w:rPr>
      </w:pPr>
      <w:r>
        <w:rPr>
          <w:rFonts w:hint="eastAsia" w:cs="宋体"/>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highlight w:val="none"/>
        </w:rPr>
      </w:pPr>
      <w:r>
        <w:rPr>
          <w:rFonts w:hint="eastAsia" w:cs="宋体"/>
          <w:highlight w:val="none"/>
        </w:rPr>
        <w:t>第二章  融资优惠</w:t>
      </w:r>
    </w:p>
    <w:p>
      <w:pPr>
        <w:topLinePunct/>
        <w:adjustRightInd/>
        <w:ind w:firstLine="480" w:firstLineChars="200"/>
        <w:rPr>
          <w:rFonts w:cs="宋体"/>
          <w:highlight w:val="none"/>
        </w:rPr>
      </w:pPr>
      <w:r>
        <w:rPr>
          <w:rFonts w:hint="eastAsia" w:cs="宋体"/>
          <w:highlight w:val="none"/>
        </w:rPr>
        <w:t>第五条(融资方式)</w:t>
      </w:r>
    </w:p>
    <w:p>
      <w:pPr>
        <w:topLinePunct/>
        <w:adjustRightInd/>
        <w:ind w:firstLine="480" w:firstLineChars="200"/>
        <w:rPr>
          <w:rFonts w:cs="宋体"/>
          <w:highlight w:val="none"/>
        </w:rPr>
      </w:pPr>
      <w:r>
        <w:rPr>
          <w:rFonts w:hint="eastAsia" w:cs="宋体"/>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highlight w:val="none"/>
        </w:rPr>
      </w:pPr>
      <w:r>
        <w:rPr>
          <w:rFonts w:hint="eastAsia" w:cs="宋体"/>
          <w:highlight w:val="none"/>
        </w:rPr>
        <w:t>第六条(融资额度)</w:t>
      </w:r>
    </w:p>
    <w:p>
      <w:pPr>
        <w:topLinePunct/>
        <w:adjustRightInd/>
        <w:ind w:firstLine="480" w:firstLineChars="200"/>
        <w:rPr>
          <w:rFonts w:cs="宋体"/>
          <w:highlight w:val="none"/>
        </w:rPr>
      </w:pPr>
      <w:r>
        <w:rPr>
          <w:rFonts w:hint="eastAsia" w:cs="宋体"/>
          <w:highlight w:val="none"/>
        </w:rPr>
        <w:t>融资额度原则上不超过政府采购合同金额。</w:t>
      </w:r>
    </w:p>
    <w:p>
      <w:pPr>
        <w:topLinePunct/>
        <w:adjustRightInd/>
        <w:ind w:firstLine="480" w:firstLineChars="200"/>
        <w:rPr>
          <w:rFonts w:cs="宋体"/>
          <w:highlight w:val="none"/>
        </w:rPr>
      </w:pPr>
      <w:r>
        <w:rPr>
          <w:rFonts w:hint="eastAsia" w:cs="宋体"/>
          <w:highlight w:val="none"/>
        </w:rPr>
        <w:t>第七条(融资利率)</w:t>
      </w:r>
    </w:p>
    <w:p>
      <w:pPr>
        <w:topLinePunct/>
        <w:adjustRightInd/>
        <w:ind w:firstLine="480" w:firstLineChars="200"/>
        <w:rPr>
          <w:rFonts w:cs="宋体"/>
          <w:highlight w:val="none"/>
        </w:rPr>
      </w:pPr>
      <w:r>
        <w:rPr>
          <w:rFonts w:hint="eastAsia" w:cs="宋体"/>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highlight w:val="none"/>
        </w:rPr>
      </w:pPr>
      <w:r>
        <w:rPr>
          <w:rFonts w:hint="eastAsia" w:cs="宋体"/>
          <w:highlight w:val="none"/>
        </w:rPr>
        <w:t>第八条(融资期限)</w:t>
      </w:r>
    </w:p>
    <w:p>
      <w:pPr>
        <w:topLinePunct/>
        <w:adjustRightInd/>
        <w:ind w:firstLine="480" w:firstLineChars="200"/>
        <w:rPr>
          <w:rFonts w:cs="宋体"/>
          <w:highlight w:val="none"/>
        </w:rPr>
      </w:pPr>
      <w:r>
        <w:rPr>
          <w:rFonts w:hint="eastAsia" w:cs="宋体"/>
          <w:highlight w:val="none"/>
        </w:rPr>
        <w:t>融资期限原则上与政府采购合同履行期限一致。</w:t>
      </w:r>
    </w:p>
    <w:p>
      <w:pPr>
        <w:topLinePunct/>
        <w:adjustRightInd/>
        <w:ind w:firstLine="480" w:firstLineChars="200"/>
        <w:rPr>
          <w:rFonts w:cs="宋体"/>
          <w:highlight w:val="none"/>
        </w:rPr>
      </w:pPr>
      <w:r>
        <w:rPr>
          <w:rFonts w:hint="eastAsia" w:cs="宋体"/>
          <w:highlight w:val="none"/>
        </w:rPr>
        <w:t>第九条(融资效率)</w:t>
      </w:r>
    </w:p>
    <w:p>
      <w:pPr>
        <w:topLinePunct/>
        <w:adjustRightInd/>
        <w:ind w:firstLine="480" w:firstLineChars="200"/>
        <w:rPr>
          <w:rFonts w:cs="宋体"/>
          <w:highlight w:val="none"/>
        </w:rPr>
      </w:pPr>
      <w:r>
        <w:rPr>
          <w:rFonts w:hint="eastAsia" w:cs="宋体"/>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highlight w:val="none"/>
        </w:rPr>
      </w:pPr>
      <w:r>
        <w:rPr>
          <w:rFonts w:hint="eastAsia" w:cs="宋体"/>
          <w:highlight w:val="none"/>
        </w:rPr>
        <w:t>第十条(融资业务升级)</w:t>
      </w:r>
    </w:p>
    <w:p>
      <w:pPr>
        <w:topLinePunct/>
        <w:adjustRightInd/>
        <w:ind w:firstLine="480" w:firstLineChars="200"/>
        <w:rPr>
          <w:rFonts w:cs="宋体"/>
          <w:highlight w:val="none"/>
        </w:rPr>
      </w:pPr>
      <w:r>
        <w:rPr>
          <w:rFonts w:hint="eastAsia" w:cs="宋体"/>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highlight w:val="none"/>
        </w:rPr>
      </w:pPr>
      <w:r>
        <w:rPr>
          <w:rFonts w:hint="eastAsia" w:cs="宋体"/>
          <w:highlight w:val="none"/>
        </w:rPr>
        <w:t>第十一条(贷款风险补贴)</w:t>
      </w:r>
    </w:p>
    <w:p>
      <w:pPr>
        <w:topLinePunct/>
        <w:adjustRightInd/>
        <w:ind w:firstLine="480" w:firstLineChars="200"/>
        <w:rPr>
          <w:rFonts w:cs="宋体"/>
          <w:highlight w:val="none"/>
        </w:rPr>
      </w:pPr>
      <w:r>
        <w:rPr>
          <w:rFonts w:hint="eastAsia" w:cs="宋体"/>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highlight w:val="none"/>
        </w:rPr>
      </w:pPr>
      <w:r>
        <w:rPr>
          <w:rFonts w:hint="eastAsia" w:cs="宋体"/>
          <w:highlight w:val="none"/>
        </w:rPr>
        <w:t>第三章  融资流程</w:t>
      </w:r>
    </w:p>
    <w:p>
      <w:pPr>
        <w:topLinePunct/>
        <w:adjustRightInd/>
        <w:ind w:firstLine="480" w:firstLineChars="200"/>
        <w:rPr>
          <w:rFonts w:cs="宋体"/>
          <w:highlight w:val="none"/>
        </w:rPr>
      </w:pPr>
      <w:r>
        <w:rPr>
          <w:rFonts w:hint="eastAsia" w:cs="宋体"/>
          <w:highlight w:val="none"/>
        </w:rPr>
        <w:t>第十二条(融资流程)</w:t>
      </w:r>
    </w:p>
    <w:p>
      <w:pPr>
        <w:topLinePunct/>
        <w:adjustRightInd/>
        <w:ind w:firstLine="480" w:firstLineChars="200"/>
        <w:rPr>
          <w:rFonts w:cs="宋体"/>
          <w:highlight w:val="none"/>
        </w:rPr>
      </w:pPr>
      <w:r>
        <w:rPr>
          <w:rFonts w:hint="eastAsia" w:cs="宋体"/>
          <w:highlight w:val="none"/>
        </w:rPr>
        <w:t>(一)信息发布。采购人应当在发布的采购公告和采购文件中载明采购项目可提供信用融资的信息。</w:t>
      </w:r>
    </w:p>
    <w:p>
      <w:pPr>
        <w:topLinePunct/>
        <w:adjustRightInd/>
        <w:ind w:firstLine="480" w:firstLineChars="200"/>
        <w:rPr>
          <w:rFonts w:cs="宋体"/>
          <w:highlight w:val="none"/>
        </w:rPr>
      </w:pPr>
      <w:r>
        <w:rPr>
          <w:rFonts w:hint="eastAsia" w:cs="宋体"/>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highlight w:val="none"/>
        </w:rPr>
      </w:pPr>
      <w:r>
        <w:rPr>
          <w:rFonts w:hint="eastAsia" w:cs="宋体"/>
          <w:highlight w:val="none"/>
        </w:rPr>
        <w:t>(三)融资审查。融资机构对供应商的融资申请进行审查，并向供应商反馈审查及融资额度等情况。</w:t>
      </w:r>
    </w:p>
    <w:p>
      <w:pPr>
        <w:topLinePunct/>
        <w:adjustRightInd/>
        <w:ind w:firstLine="480" w:firstLineChars="200"/>
        <w:rPr>
          <w:rFonts w:cs="宋体"/>
          <w:highlight w:val="none"/>
        </w:rPr>
      </w:pPr>
      <w:r>
        <w:rPr>
          <w:rFonts w:hint="eastAsia" w:cs="宋体"/>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highlight w:val="none"/>
        </w:rPr>
      </w:pPr>
      <w:r>
        <w:rPr>
          <w:rFonts w:hint="eastAsia" w:cs="宋体"/>
          <w:highlight w:val="none"/>
        </w:rPr>
        <w:t>(五)放款。融资机构对政府采购合同及融资相关信息进行确认，并向供应商提供相应的融资产品。</w:t>
      </w:r>
    </w:p>
    <w:p>
      <w:pPr>
        <w:topLinePunct/>
        <w:adjustRightInd/>
        <w:ind w:firstLine="480" w:firstLineChars="200"/>
        <w:rPr>
          <w:rFonts w:cs="宋体"/>
          <w:highlight w:val="none"/>
        </w:rPr>
      </w:pPr>
      <w:r>
        <w:rPr>
          <w:rFonts w:hint="eastAsia" w:cs="宋体"/>
          <w:highlight w:val="none"/>
        </w:rPr>
        <w:t>(六)贷款归还。采购人按相关规定和合同约定将合同资金支付至约定的唯一收款账户。</w:t>
      </w:r>
    </w:p>
    <w:p>
      <w:pPr>
        <w:topLinePunct/>
        <w:adjustRightInd/>
        <w:ind w:firstLine="480" w:firstLineChars="200"/>
        <w:jc w:val="center"/>
        <w:rPr>
          <w:rFonts w:cs="宋体"/>
          <w:highlight w:val="none"/>
        </w:rPr>
      </w:pPr>
      <w:r>
        <w:rPr>
          <w:rFonts w:hint="eastAsia" w:cs="宋体"/>
          <w:highlight w:val="none"/>
        </w:rPr>
        <w:t>第四章  职责分工</w:t>
      </w:r>
    </w:p>
    <w:p>
      <w:pPr>
        <w:topLinePunct/>
        <w:adjustRightInd/>
        <w:ind w:firstLine="480" w:firstLineChars="200"/>
        <w:rPr>
          <w:rFonts w:cs="宋体"/>
          <w:highlight w:val="none"/>
        </w:rPr>
      </w:pPr>
      <w:r>
        <w:rPr>
          <w:rFonts w:hint="eastAsia" w:cs="宋体"/>
          <w:highlight w:val="none"/>
        </w:rPr>
        <w:t>第十三条(财政部门职责)</w:t>
      </w:r>
    </w:p>
    <w:p>
      <w:pPr>
        <w:topLinePunct/>
        <w:adjustRightInd/>
        <w:ind w:firstLine="480" w:firstLineChars="200"/>
        <w:rPr>
          <w:rFonts w:cs="宋体"/>
          <w:highlight w:val="none"/>
        </w:rPr>
      </w:pPr>
      <w:r>
        <w:rPr>
          <w:rFonts w:hint="eastAsia" w:cs="宋体"/>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highlight w:val="none"/>
        </w:rPr>
      </w:pPr>
      <w:r>
        <w:rPr>
          <w:rFonts w:hint="eastAsia" w:cs="宋体"/>
          <w:highlight w:val="none"/>
        </w:rPr>
        <w:t>第十四条(融资机构主管部门职责)</w:t>
      </w:r>
    </w:p>
    <w:p>
      <w:pPr>
        <w:topLinePunct/>
        <w:adjustRightInd/>
        <w:ind w:firstLine="480" w:firstLineChars="200"/>
        <w:rPr>
          <w:rFonts w:cs="宋体"/>
          <w:highlight w:val="none"/>
        </w:rPr>
      </w:pPr>
      <w:r>
        <w:rPr>
          <w:rFonts w:hint="eastAsia" w:cs="宋体"/>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highlight w:val="none"/>
        </w:rPr>
      </w:pPr>
      <w:r>
        <w:rPr>
          <w:rFonts w:hint="eastAsia" w:cs="宋体"/>
          <w:highlight w:val="none"/>
        </w:rPr>
        <w:t>第十五条(采购人职责)</w:t>
      </w:r>
    </w:p>
    <w:p>
      <w:pPr>
        <w:topLinePunct/>
        <w:adjustRightInd/>
        <w:ind w:firstLine="480" w:firstLineChars="200"/>
        <w:rPr>
          <w:rFonts w:cs="宋体"/>
          <w:highlight w:val="none"/>
        </w:rPr>
      </w:pPr>
      <w:r>
        <w:rPr>
          <w:rFonts w:hint="eastAsia" w:cs="宋体"/>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highlight w:val="none"/>
        </w:rPr>
      </w:pPr>
      <w:r>
        <w:rPr>
          <w:rFonts w:hint="eastAsia" w:cs="宋体"/>
          <w:highlight w:val="none"/>
        </w:rPr>
        <w:t>第十六条(融资机构职责)</w:t>
      </w:r>
    </w:p>
    <w:p>
      <w:pPr>
        <w:topLinePunct/>
        <w:adjustRightInd/>
        <w:ind w:firstLine="480" w:firstLineChars="200"/>
        <w:rPr>
          <w:rFonts w:cs="宋体"/>
          <w:highlight w:val="none"/>
        </w:rPr>
      </w:pPr>
      <w:r>
        <w:rPr>
          <w:rFonts w:hint="eastAsia" w:cs="宋体"/>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highlight w:val="none"/>
        </w:rPr>
      </w:pPr>
      <w:r>
        <w:rPr>
          <w:rFonts w:hint="eastAsia" w:cs="宋体"/>
          <w:highlight w:val="none"/>
        </w:rPr>
        <w:t>第十七条(供应商职责)</w:t>
      </w:r>
    </w:p>
    <w:p>
      <w:pPr>
        <w:topLinePunct/>
        <w:adjustRightInd/>
        <w:ind w:firstLine="480" w:firstLineChars="200"/>
        <w:rPr>
          <w:rFonts w:cs="宋体"/>
          <w:highlight w:val="none"/>
        </w:rPr>
      </w:pPr>
      <w:r>
        <w:rPr>
          <w:rFonts w:hint="eastAsia" w:cs="宋体"/>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highlight w:val="none"/>
        </w:rPr>
      </w:pPr>
      <w:r>
        <w:rPr>
          <w:rFonts w:hint="eastAsia" w:cs="宋体"/>
          <w:highlight w:val="none"/>
        </w:rPr>
        <w:t>第五章 监督管理</w:t>
      </w:r>
    </w:p>
    <w:p>
      <w:pPr>
        <w:topLinePunct/>
        <w:adjustRightInd/>
        <w:ind w:firstLine="480" w:firstLineChars="200"/>
        <w:rPr>
          <w:rFonts w:cs="宋体"/>
          <w:highlight w:val="none"/>
        </w:rPr>
      </w:pPr>
      <w:r>
        <w:rPr>
          <w:rFonts w:hint="eastAsia" w:cs="宋体"/>
          <w:highlight w:val="none"/>
        </w:rPr>
        <w:t>第十八条(采购人监管)</w:t>
      </w:r>
    </w:p>
    <w:p>
      <w:pPr>
        <w:topLinePunct/>
        <w:adjustRightInd/>
        <w:ind w:firstLine="480" w:firstLineChars="200"/>
        <w:rPr>
          <w:rFonts w:cs="宋体"/>
          <w:highlight w:val="none"/>
        </w:rPr>
      </w:pPr>
      <w:r>
        <w:rPr>
          <w:rFonts w:hint="eastAsia" w:cs="宋体"/>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highlight w:val="none"/>
        </w:rPr>
      </w:pPr>
      <w:r>
        <w:rPr>
          <w:rFonts w:hint="eastAsia" w:cs="宋体"/>
          <w:highlight w:val="none"/>
        </w:rPr>
        <w:t>第十九条(融资机构监管)</w:t>
      </w:r>
    </w:p>
    <w:p>
      <w:pPr>
        <w:topLinePunct/>
        <w:adjustRightInd/>
        <w:ind w:firstLine="480" w:firstLineChars="200"/>
        <w:rPr>
          <w:rFonts w:cs="宋体"/>
          <w:highlight w:val="none"/>
        </w:rPr>
      </w:pPr>
      <w:r>
        <w:rPr>
          <w:rFonts w:hint="eastAsia" w:cs="宋体"/>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highlight w:val="none"/>
        </w:rPr>
      </w:pPr>
      <w:r>
        <w:rPr>
          <w:rFonts w:hint="eastAsia" w:cs="宋体"/>
          <w:highlight w:val="none"/>
        </w:rPr>
        <w:t>第二十条(供应商监管)</w:t>
      </w:r>
    </w:p>
    <w:p>
      <w:pPr>
        <w:topLinePunct/>
        <w:adjustRightInd/>
        <w:ind w:firstLine="480" w:firstLineChars="200"/>
        <w:rPr>
          <w:rFonts w:cs="宋体"/>
          <w:highlight w:val="none"/>
        </w:rPr>
      </w:pPr>
      <w:r>
        <w:rPr>
          <w:rFonts w:hint="eastAsia" w:cs="宋体"/>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highlight w:val="none"/>
        </w:rPr>
      </w:pPr>
      <w:r>
        <w:rPr>
          <w:rFonts w:hint="eastAsia" w:cs="宋体"/>
          <w:highlight w:val="none"/>
        </w:rPr>
        <w:t>第二十一条</w:t>
      </w:r>
      <w:bookmarkStart w:id="1231" w:name="BM24558847_25425864_3"/>
      <w:bookmarkEnd w:id="1231"/>
      <w:r>
        <w:rPr>
          <w:rFonts w:hint="eastAsia" w:cs="宋体"/>
          <w:highlight w:val="none"/>
        </w:rPr>
        <w:t>(相关单位及工作人员监管)</w:t>
      </w:r>
    </w:p>
    <w:p>
      <w:pPr>
        <w:topLinePunct/>
        <w:adjustRightInd/>
        <w:ind w:firstLine="480" w:firstLineChars="200"/>
        <w:rPr>
          <w:rFonts w:cs="宋体"/>
          <w:highlight w:val="none"/>
        </w:rPr>
      </w:pPr>
      <w:r>
        <w:rPr>
          <w:rFonts w:hint="eastAsia" w:cs="宋体"/>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highlight w:val="none"/>
        </w:rPr>
      </w:pPr>
      <w:r>
        <w:rPr>
          <w:rFonts w:hint="eastAsia" w:cs="宋体"/>
          <w:highlight w:val="none"/>
        </w:rPr>
        <w:t>第六章  附  则</w:t>
      </w:r>
    </w:p>
    <w:p>
      <w:pPr>
        <w:topLinePunct/>
        <w:adjustRightInd/>
        <w:ind w:firstLine="480" w:firstLineChars="200"/>
        <w:rPr>
          <w:rFonts w:cs="宋体"/>
          <w:highlight w:val="none"/>
        </w:rPr>
      </w:pPr>
      <w:r>
        <w:rPr>
          <w:rFonts w:hint="eastAsia" w:cs="宋体"/>
          <w:highlight w:val="none"/>
        </w:rPr>
        <w:t>第二十二条(解释相关)</w:t>
      </w:r>
    </w:p>
    <w:p>
      <w:pPr>
        <w:topLinePunct/>
        <w:adjustRightInd/>
        <w:ind w:firstLine="480" w:firstLineChars="200"/>
        <w:rPr>
          <w:rFonts w:cs="宋体"/>
          <w:highlight w:val="none"/>
        </w:rPr>
      </w:pPr>
      <w:r>
        <w:rPr>
          <w:rFonts w:hint="eastAsia" w:cs="宋体"/>
          <w:highlight w:val="none"/>
        </w:rPr>
        <w:t>本办法由市财政局会同中国人民银行成都分行营业管理部负责解释。</w:t>
      </w:r>
    </w:p>
    <w:p>
      <w:pPr>
        <w:topLinePunct/>
        <w:adjustRightInd/>
        <w:ind w:firstLine="480" w:firstLineChars="200"/>
        <w:rPr>
          <w:rFonts w:cs="宋体"/>
          <w:highlight w:val="none"/>
        </w:rPr>
      </w:pPr>
      <w:r>
        <w:rPr>
          <w:rFonts w:hint="eastAsia" w:cs="宋体"/>
          <w:highlight w:val="none"/>
        </w:rPr>
        <w:t>第二十三条(施行相关)</w:t>
      </w:r>
    </w:p>
    <w:p>
      <w:pPr>
        <w:topLinePunct/>
        <w:adjustRightInd/>
        <w:ind w:firstLine="480" w:firstLineChars="200"/>
        <w:rPr>
          <w:rFonts w:cs="宋体"/>
          <w:highlight w:val="none"/>
        </w:rPr>
      </w:pPr>
      <w:r>
        <w:rPr>
          <w:rFonts w:hint="eastAsia" w:cs="宋体"/>
          <w:highlight w:val="none"/>
        </w:rPr>
        <w:t>本办法自印发之日起施行。市财政局、市金融办2013年12月9日印发的《关于开展中小企业政府采购信用担保及融资试点工作的通知》(成财采〔2013〕200号)同时废止。</w:t>
      </w:r>
    </w:p>
    <w:p>
      <w:pPr>
        <w:rPr>
          <w:rFonts w:cs="宋体"/>
          <w:highlight w:val="none"/>
        </w:rPr>
      </w:pPr>
      <w:r>
        <w:rPr>
          <w:rFonts w:hint="eastAsia" w:cs="宋体"/>
          <w:highlight w:val="none"/>
        </w:rPr>
        <w:br w:type="page"/>
      </w:r>
    </w:p>
    <w:p>
      <w:pPr>
        <w:topLinePunct/>
        <w:adjustRightInd/>
        <w:rPr>
          <w:rFonts w:cs="宋体"/>
          <w:highlight w:val="none"/>
        </w:rPr>
      </w:pPr>
      <w:r>
        <w:rPr>
          <w:rFonts w:hint="eastAsia" w:cs="宋体"/>
          <w:highlight w:val="none"/>
        </w:rPr>
        <w:t>附件2</w:t>
      </w:r>
    </w:p>
    <w:p>
      <w:pPr>
        <w:topLinePunct/>
        <w:adjustRightInd/>
        <w:ind w:firstLine="480" w:firstLineChars="200"/>
        <w:rPr>
          <w:rFonts w:cs="宋体"/>
          <w:highlight w:val="none"/>
        </w:rPr>
      </w:pPr>
    </w:p>
    <w:p>
      <w:pPr>
        <w:topLinePunct/>
        <w:adjustRightInd/>
        <w:jc w:val="center"/>
        <w:rPr>
          <w:rFonts w:cs="宋体"/>
          <w:highlight w:val="none"/>
        </w:rPr>
      </w:pPr>
      <w:r>
        <w:rPr>
          <w:rFonts w:hint="eastAsia" w:cs="宋体"/>
          <w:highlight w:val="none"/>
        </w:rPr>
        <w:t>成都市级支持中小企业政府采购</w:t>
      </w:r>
    </w:p>
    <w:p>
      <w:pPr>
        <w:topLinePunct/>
        <w:adjustRightInd/>
        <w:jc w:val="center"/>
        <w:rPr>
          <w:rFonts w:cs="宋体"/>
          <w:highlight w:val="none"/>
        </w:rPr>
      </w:pPr>
      <w:r>
        <w:rPr>
          <w:rFonts w:hint="eastAsia" w:cs="宋体"/>
          <w:highlight w:val="none"/>
        </w:rPr>
        <w:t>信用融资实施方案</w:t>
      </w:r>
    </w:p>
    <w:p>
      <w:pPr>
        <w:topLinePunct/>
        <w:adjustRightInd/>
        <w:ind w:firstLine="480" w:firstLineChars="200"/>
        <w:rPr>
          <w:rFonts w:cs="宋体"/>
          <w:highlight w:val="none"/>
        </w:rPr>
      </w:pPr>
    </w:p>
    <w:p>
      <w:pPr>
        <w:topLinePunct/>
        <w:adjustRightInd/>
        <w:ind w:firstLine="480" w:firstLineChars="200"/>
        <w:rPr>
          <w:rFonts w:cs="宋体"/>
          <w:highlight w:val="none"/>
        </w:rPr>
      </w:pPr>
      <w:r>
        <w:rPr>
          <w:rFonts w:hint="eastAsia" w:cs="宋体"/>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highlight w:val="none"/>
        </w:rPr>
      </w:pPr>
      <w:r>
        <w:rPr>
          <w:rFonts w:hint="eastAsia" w:cs="宋体"/>
          <w:highlight w:val="none"/>
        </w:rPr>
        <w:t>一、目标任务</w:t>
      </w:r>
    </w:p>
    <w:p>
      <w:pPr>
        <w:topLinePunct/>
        <w:adjustRightInd/>
        <w:ind w:firstLine="480" w:firstLineChars="200"/>
        <w:rPr>
          <w:rFonts w:cs="宋体"/>
          <w:highlight w:val="none"/>
        </w:rPr>
      </w:pPr>
      <w:r>
        <w:rPr>
          <w:rFonts w:hint="eastAsia" w:cs="宋体"/>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highlight w:val="none"/>
        </w:rPr>
      </w:pPr>
      <w:r>
        <w:rPr>
          <w:rFonts w:hint="eastAsia" w:cs="宋体"/>
          <w:highlight w:val="none"/>
        </w:rPr>
        <w:t>二、适用范围</w:t>
      </w:r>
    </w:p>
    <w:p>
      <w:pPr>
        <w:topLinePunct/>
        <w:adjustRightInd/>
        <w:ind w:firstLine="480" w:firstLineChars="200"/>
        <w:rPr>
          <w:rFonts w:cs="宋体"/>
          <w:highlight w:val="none"/>
        </w:rPr>
      </w:pPr>
      <w:r>
        <w:rPr>
          <w:rFonts w:hint="eastAsia" w:cs="宋体"/>
          <w:highlight w:val="none"/>
        </w:rPr>
        <w:t>本《实施方案》适用于成都市本级政府采购信用融资工作。</w:t>
      </w:r>
    </w:p>
    <w:p>
      <w:pPr>
        <w:topLinePunct/>
        <w:adjustRightInd/>
        <w:ind w:firstLine="480" w:firstLineChars="200"/>
        <w:rPr>
          <w:rFonts w:cs="宋体"/>
          <w:highlight w:val="none"/>
        </w:rPr>
      </w:pPr>
      <w:r>
        <w:rPr>
          <w:rFonts w:hint="eastAsia" w:cs="宋体"/>
          <w:highlight w:val="none"/>
        </w:rPr>
        <w:t xml:space="preserve">三、基本原则 </w:t>
      </w:r>
    </w:p>
    <w:p>
      <w:pPr>
        <w:topLinePunct/>
        <w:adjustRightInd/>
        <w:ind w:firstLine="480" w:firstLineChars="200"/>
        <w:rPr>
          <w:rFonts w:cs="宋体"/>
          <w:highlight w:val="none"/>
        </w:rPr>
      </w:pPr>
      <w:r>
        <w:rPr>
          <w:rFonts w:hint="eastAsia" w:cs="宋体"/>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highlight w:val="none"/>
        </w:rPr>
      </w:pPr>
      <w:r>
        <w:rPr>
          <w:rFonts w:hint="eastAsia" w:cs="宋体"/>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highlight w:val="none"/>
        </w:rPr>
      </w:pPr>
      <w:r>
        <w:rPr>
          <w:rFonts w:hint="eastAsia" w:cs="宋体"/>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highlight w:val="none"/>
        </w:rPr>
      </w:pPr>
      <w:r>
        <w:rPr>
          <w:rFonts w:hint="eastAsia" w:cs="宋体"/>
          <w:highlight w:val="none"/>
        </w:rPr>
        <w:t>四、组织实施</w:t>
      </w:r>
    </w:p>
    <w:p>
      <w:pPr>
        <w:topLinePunct/>
        <w:adjustRightInd/>
        <w:ind w:firstLine="480" w:firstLineChars="200"/>
        <w:rPr>
          <w:rFonts w:cs="宋体"/>
          <w:highlight w:val="none"/>
        </w:rPr>
      </w:pPr>
      <w:r>
        <w:rPr>
          <w:rFonts w:hint="eastAsia" w:cs="宋体"/>
          <w:highlight w:val="none"/>
        </w:rPr>
        <w:t>(一)宣传动员</w:t>
      </w:r>
    </w:p>
    <w:p>
      <w:pPr>
        <w:topLinePunct/>
        <w:adjustRightInd/>
        <w:ind w:firstLine="480" w:firstLineChars="200"/>
        <w:rPr>
          <w:rFonts w:cs="宋体"/>
          <w:highlight w:val="none"/>
        </w:rPr>
      </w:pPr>
      <w:r>
        <w:rPr>
          <w:rFonts w:hint="eastAsia" w:cs="宋体"/>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highlight w:val="none"/>
        </w:rPr>
      </w:pPr>
      <w:r>
        <w:rPr>
          <w:rFonts w:hint="eastAsia" w:cs="宋体"/>
          <w:highlight w:val="none"/>
        </w:rPr>
        <w:t>(二)融资机构选择</w:t>
      </w:r>
    </w:p>
    <w:p>
      <w:pPr>
        <w:topLinePunct/>
        <w:adjustRightInd/>
        <w:ind w:firstLine="480" w:firstLineChars="200"/>
        <w:rPr>
          <w:rFonts w:cs="宋体"/>
          <w:highlight w:val="none"/>
        </w:rPr>
      </w:pPr>
      <w:r>
        <w:rPr>
          <w:rFonts w:hint="eastAsia" w:cs="宋体"/>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highlight w:val="none"/>
        </w:rPr>
      </w:pPr>
      <w:r>
        <w:rPr>
          <w:rFonts w:hint="eastAsia" w:cs="宋体"/>
          <w:highlight w:val="none"/>
        </w:rPr>
        <w:t>(1)融资机构基本情况；</w:t>
      </w:r>
    </w:p>
    <w:p>
      <w:pPr>
        <w:topLinePunct/>
        <w:adjustRightInd/>
        <w:ind w:firstLine="480" w:firstLineChars="200"/>
        <w:rPr>
          <w:rFonts w:cs="宋体"/>
          <w:highlight w:val="none"/>
        </w:rPr>
      </w:pPr>
      <w:r>
        <w:rPr>
          <w:rFonts w:hint="eastAsia" w:cs="宋体"/>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highlight w:val="none"/>
        </w:rPr>
      </w:pPr>
      <w:r>
        <w:rPr>
          <w:rFonts w:hint="eastAsia" w:cs="宋体"/>
          <w:highlight w:val="none"/>
        </w:rPr>
        <w:t>(3)关于遵照《暂行办法》和《实施方案》开展政府采购信用融资业务的承诺；</w:t>
      </w:r>
    </w:p>
    <w:p>
      <w:pPr>
        <w:topLinePunct/>
        <w:adjustRightInd/>
        <w:ind w:firstLine="480" w:firstLineChars="200"/>
        <w:rPr>
          <w:rFonts w:cs="宋体"/>
          <w:highlight w:val="none"/>
        </w:rPr>
      </w:pPr>
      <w:r>
        <w:rPr>
          <w:rFonts w:hint="eastAsia" w:cs="宋体"/>
          <w:highlight w:val="none"/>
        </w:rPr>
        <w:t>(4)关于政府采购信用融资业务风险及系统对接研发费用自行承担的承诺。</w:t>
      </w:r>
    </w:p>
    <w:p>
      <w:pPr>
        <w:topLinePunct/>
        <w:adjustRightInd/>
        <w:ind w:firstLine="480" w:firstLineChars="200"/>
        <w:rPr>
          <w:rFonts w:cs="宋体"/>
          <w:highlight w:val="none"/>
        </w:rPr>
      </w:pPr>
      <w:r>
        <w:rPr>
          <w:rFonts w:hint="eastAsia" w:cs="宋体"/>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highlight w:val="none"/>
        </w:rPr>
      </w:pPr>
      <w:r>
        <w:rPr>
          <w:rFonts w:hint="eastAsia" w:cs="宋体"/>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highlight w:val="none"/>
        </w:rPr>
      </w:pPr>
      <w:r>
        <w:rPr>
          <w:rFonts w:hint="eastAsia" w:cs="宋体"/>
          <w:highlight w:val="none"/>
        </w:rPr>
        <w:t>(三)其他事项</w:t>
      </w:r>
    </w:p>
    <w:p>
      <w:pPr>
        <w:topLinePunct/>
        <w:adjustRightInd/>
        <w:ind w:firstLine="480" w:firstLineChars="200"/>
        <w:rPr>
          <w:rFonts w:cs="宋体"/>
          <w:highlight w:val="none"/>
        </w:rPr>
      </w:pPr>
      <w:r>
        <w:rPr>
          <w:rFonts w:hint="eastAsia" w:cs="宋体"/>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highlight w:val="none"/>
        </w:rPr>
      </w:pPr>
      <w:r>
        <w:rPr>
          <w:rFonts w:hint="eastAsia" w:cs="宋体"/>
          <w:highlight w:val="none"/>
        </w:rPr>
        <w:t>五、相关要求</w:t>
      </w:r>
    </w:p>
    <w:p>
      <w:pPr>
        <w:topLinePunct/>
        <w:adjustRightInd/>
        <w:ind w:firstLine="480" w:firstLineChars="200"/>
        <w:rPr>
          <w:rFonts w:cs="宋体"/>
          <w:highlight w:val="none"/>
        </w:rPr>
      </w:pPr>
      <w:r>
        <w:rPr>
          <w:rFonts w:hint="eastAsia" w:cs="宋体"/>
          <w:highlight w:val="none"/>
        </w:rPr>
        <w:t>(一)加强组织领导。</w:t>
      </w:r>
      <w:r>
        <w:rPr>
          <w:rFonts w:hint="eastAsia" w:cs="宋体"/>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highlight w:val="none"/>
        </w:rPr>
        <w:t>全面、有序、科学推进政府采购信用融资工作。</w:t>
      </w:r>
    </w:p>
    <w:p>
      <w:pPr>
        <w:topLinePunct/>
        <w:adjustRightInd/>
        <w:ind w:firstLine="480" w:firstLineChars="200"/>
        <w:rPr>
          <w:rFonts w:cs="宋体"/>
          <w:highlight w:val="none"/>
        </w:rPr>
      </w:pPr>
      <w:r>
        <w:rPr>
          <w:rFonts w:hint="eastAsia" w:cs="宋体"/>
          <w:highlight w:val="none"/>
        </w:rPr>
        <w:t>(二)注重协调配合。</w:t>
      </w:r>
      <w:r>
        <w:rPr>
          <w:rFonts w:hint="eastAsia" w:cs="宋体"/>
          <w:kern w:val="0"/>
          <w:highlight w:val="none"/>
        </w:rPr>
        <w:t>市财政局、中国人民银行成都分行营业管理部及采购人</w:t>
      </w:r>
      <w:r>
        <w:rPr>
          <w:rFonts w:hint="eastAsia" w:cs="宋体"/>
          <w:highlight w:val="none"/>
        </w:rPr>
        <w:t>等有关单位要根据职责任务，及时协调解决工作中遇到的困难和问题，积极</w:t>
      </w:r>
      <w:r>
        <w:rPr>
          <w:rFonts w:hint="eastAsia" w:cs="宋体"/>
          <w:kern w:val="0"/>
          <w:highlight w:val="none"/>
        </w:rPr>
        <w:t>创造条件主动服务，帮助有融资需求、符合条件的供应商实现政府采购信用融资，促进中小企业又好又快发展</w:t>
      </w:r>
      <w:r>
        <w:rPr>
          <w:rFonts w:hint="eastAsia" w:cs="宋体"/>
          <w:highlight w:val="none"/>
        </w:rPr>
        <w:t>。</w:t>
      </w:r>
    </w:p>
    <w:p>
      <w:pPr>
        <w:topLinePunct/>
        <w:adjustRightInd/>
        <w:ind w:firstLine="480" w:firstLineChars="200"/>
        <w:rPr>
          <w:highlight w:val="none"/>
        </w:rPr>
      </w:pPr>
      <w:r>
        <w:rPr>
          <w:rFonts w:hint="eastAsia" w:cs="宋体"/>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3"/>
        <w:ind w:firstLine="482"/>
        <w:rPr>
          <w:highlight w:val="none"/>
        </w:rPr>
      </w:pPr>
    </w:p>
    <w:sectPr>
      <w:pgSz w:w="11906" w:h="16838"/>
      <w:pgMar w:top="1440" w:right="1083" w:bottom="1440" w:left="1083"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47C240-1A00-43A1-AC49-3887F8571E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89983FDA-8089-4B9E-AA75-0552889A017A}"/>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3000509000000000000"/>
    <w:charset w:val="86"/>
    <w:family w:val="auto"/>
    <w:pitch w:val="default"/>
    <w:sig w:usb0="00000000" w:usb1="00000000" w:usb2="00000010" w:usb3="00000000" w:csb0="00040000" w:csb1="00000000"/>
    <w:embedRegular r:id="rId3" w:fontKey="{2D32087B-F39D-4A0D-AA8B-6EE918F01594}"/>
  </w:font>
  <w:font w:name="Arial Unicode MS">
    <w:panose1 w:val="020B0604020202020204"/>
    <w:charset w:val="86"/>
    <w:family w:val="auto"/>
    <w:pitch w:val="default"/>
    <w:sig w:usb0="FFFFFFFF" w:usb1="E9FFFFFF" w:usb2="0000003F" w:usb3="00000000" w:csb0="603F01FF" w:csb1="FFFF0000"/>
  </w:font>
  <w:font w:name="方正仿宋_GBK">
    <w:altName w:val="Arial Unicode MS"/>
    <w:panose1 w:val="00000000000000000000"/>
    <w:charset w:val="86"/>
    <w:family w:val="script"/>
    <w:pitch w:val="default"/>
    <w:sig w:usb0="00000000" w:usb1="00000000" w:usb2="00000000" w:usb3="00000000" w:csb0="00040000" w:csb1="00000000"/>
    <w:embedRegular r:id="rId4" w:fontKey="{103D7356-60EC-46FB-9BA2-71778F58B2EA}"/>
  </w:font>
  <w:font w:name="方正小标宋_GBK">
    <w:panose1 w:val="03000509000000000000"/>
    <w:charset w:val="86"/>
    <w:family w:val="script"/>
    <w:pitch w:val="default"/>
    <w:sig w:usb0="00000001" w:usb1="080E0000" w:usb2="00000000" w:usb3="00000000" w:csb0="00040000" w:csb1="00000000"/>
    <w:embedRegular r:id="rId5" w:fontKey="{46A29B53-6BEF-4789-8B5D-F28A93DA3C6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2336"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2336;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5"/>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b/>
        <w:bCs/>
      </w:rPr>
    </w:pPr>
    <w:r>
      <w:rPr>
        <w:rFonts w:hAnsi="Calibri" w:cs="黑体"/>
        <w:sz w:val="20"/>
        <w:szCs w:val="11"/>
        <w:lang w:val="zh-CN"/>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6"/>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A1B50"/>
    <w:multiLevelType w:val="singleLevel"/>
    <w:tmpl w:val="8C1A1B50"/>
    <w:lvl w:ilvl="0" w:tentative="0">
      <w:start w:val="1"/>
      <w:numFmt w:val="decimal"/>
      <w:lvlText w:val="%1."/>
      <w:lvlJc w:val="left"/>
      <w:pPr>
        <w:tabs>
          <w:tab w:val="left" w:pos="312"/>
        </w:tabs>
      </w:pPr>
    </w:lvl>
  </w:abstractNum>
  <w:abstractNum w:abstractNumId="1">
    <w:nsid w:val="B0339DCC"/>
    <w:multiLevelType w:val="singleLevel"/>
    <w:tmpl w:val="B0339DCC"/>
    <w:lvl w:ilvl="0" w:tentative="0">
      <w:start w:val="3"/>
      <w:numFmt w:val="decimal"/>
      <w:lvlText w:val="%1."/>
      <w:lvlJc w:val="left"/>
      <w:pPr>
        <w:tabs>
          <w:tab w:val="left" w:pos="312"/>
        </w:tabs>
      </w:pPr>
    </w:lvl>
  </w:abstractNum>
  <w:abstractNum w:abstractNumId="2">
    <w:nsid w:val="B04D8E0A"/>
    <w:multiLevelType w:val="multilevel"/>
    <w:tmpl w:val="B04D8E0A"/>
    <w:lvl w:ilvl="0" w:tentative="0">
      <w:start w:val="1"/>
      <w:numFmt w:val="chineseCounting"/>
      <w:pStyle w:val="28"/>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0"/>
      <w:suff w:val="nothing"/>
      <w:lvlText w:val="%2、"/>
      <w:lvlJc w:val="left"/>
      <w:pPr>
        <w:ind w:left="0" w:firstLine="0"/>
      </w:pPr>
      <w:rPr>
        <w:rFonts w:hint="eastAsia" w:ascii="宋体" w:hAnsi="宋体" w:eastAsia="宋体" w:cs="宋体"/>
      </w:rPr>
    </w:lvl>
    <w:lvl w:ilvl="2" w:tentative="0">
      <w:start w:val="1"/>
      <w:numFmt w:val="chineseCounting"/>
      <w:pStyle w:val="31"/>
      <w:suff w:val="nothing"/>
      <w:lvlText w:val="(%3)"/>
      <w:lvlJc w:val="left"/>
      <w:pPr>
        <w:tabs>
          <w:tab w:val="left" w:pos="0"/>
        </w:tabs>
        <w:ind w:left="0" w:firstLine="0"/>
      </w:pPr>
      <w:rPr>
        <w:rFonts w:hint="eastAsia" w:ascii="宋体" w:hAnsi="宋体" w:eastAsia="宋体" w:cs="宋体"/>
      </w:rPr>
    </w:lvl>
    <w:lvl w:ilvl="3" w:tentative="0">
      <w:start w:val="1"/>
      <w:numFmt w:val="decimal"/>
      <w:pStyle w:val="32"/>
      <w:suff w:val="nothing"/>
      <w:lvlText w:val="%4."/>
      <w:lvlJc w:val="left"/>
      <w:pPr>
        <w:tabs>
          <w:tab w:val="left" w:pos="0"/>
        </w:tabs>
        <w:ind w:left="0" w:firstLine="0"/>
      </w:pPr>
      <w:rPr>
        <w:rFonts w:hint="eastAsia" w:ascii="宋体" w:hAnsi="宋体" w:eastAsia="宋体" w:cs="宋体"/>
      </w:rPr>
    </w:lvl>
    <w:lvl w:ilvl="4" w:tentative="0">
      <w:start w:val="1"/>
      <w:numFmt w:val="decimal"/>
      <w:pStyle w:val="34"/>
      <w:suff w:val="nothing"/>
      <w:lvlText w:val="%4.%5"/>
      <w:lvlJc w:val="left"/>
      <w:pPr>
        <w:ind w:left="0" w:firstLine="0"/>
      </w:pPr>
      <w:rPr>
        <w:rFonts w:hint="eastAsia" w:ascii="宋体" w:hAnsi="宋体" w:eastAsia="宋体" w:cs="宋体"/>
      </w:rPr>
    </w:lvl>
    <w:lvl w:ilvl="5" w:tentative="0">
      <w:start w:val="1"/>
      <w:numFmt w:val="decimal"/>
      <w:pStyle w:val="35"/>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B1D744A8"/>
    <w:multiLevelType w:val="singleLevel"/>
    <w:tmpl w:val="B1D744A8"/>
    <w:lvl w:ilvl="0" w:tentative="0">
      <w:start w:val="3"/>
      <w:numFmt w:val="decimal"/>
      <w:lvlText w:val="%1."/>
      <w:lvlJc w:val="left"/>
      <w:pPr>
        <w:tabs>
          <w:tab w:val="left" w:pos="312"/>
        </w:tabs>
      </w:pPr>
    </w:lvl>
  </w:abstractNum>
  <w:abstractNum w:abstractNumId="4">
    <w:nsid w:val="C7F53590"/>
    <w:multiLevelType w:val="multilevel"/>
    <w:tmpl w:val="C7F53590"/>
    <w:lvl w:ilvl="0" w:tentative="0">
      <w:start w:val="1"/>
      <w:numFmt w:val="decimal"/>
      <w:pStyle w:val="46"/>
      <w:suff w:val="nothing"/>
      <w:lvlText w:val="%1."/>
      <w:lvlJc w:val="left"/>
      <w:pPr>
        <w:tabs>
          <w:tab w:val="left" w:pos="420"/>
        </w:tabs>
        <w:ind w:left="0" w:firstLine="0"/>
      </w:pPr>
      <w:rPr>
        <w:rFonts w:hint="default" w:ascii="宋体" w:hAnsi="宋体" w:eastAsia="宋体" w:cs="宋体"/>
      </w:rPr>
    </w:lvl>
    <w:lvl w:ilvl="1" w:tentative="0">
      <w:start w:val="1"/>
      <w:numFmt w:val="decimal"/>
      <w:pStyle w:val="47"/>
      <w:suff w:val="nothing"/>
      <w:lvlText w:val="%1.%2"/>
      <w:lvlJc w:val="left"/>
      <w:pPr>
        <w:tabs>
          <w:tab w:val="left" w:pos="420"/>
        </w:tabs>
        <w:ind w:left="0" w:firstLine="0"/>
      </w:pPr>
      <w:rPr>
        <w:rFonts w:hint="default" w:ascii="宋体" w:hAnsi="宋体" w:eastAsia="宋体" w:cs="宋体"/>
      </w:rPr>
    </w:lvl>
    <w:lvl w:ilvl="2" w:tentative="0">
      <w:start w:val="1"/>
      <w:numFmt w:val="decimal"/>
      <w:pStyle w:val="48"/>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CA240A61"/>
    <w:multiLevelType w:val="singleLevel"/>
    <w:tmpl w:val="CA240A61"/>
    <w:lvl w:ilvl="0" w:tentative="0">
      <w:start w:val="1"/>
      <w:numFmt w:val="chineseCounting"/>
      <w:pStyle w:val="74"/>
      <w:suff w:val="nothing"/>
      <w:lvlText w:val="(%1)"/>
      <w:lvlJc w:val="left"/>
      <w:pPr>
        <w:ind w:left="0" w:firstLine="0"/>
      </w:pPr>
      <w:rPr>
        <w:rFonts w:hint="eastAsia"/>
      </w:rPr>
    </w:lvl>
  </w:abstractNum>
  <w:abstractNum w:abstractNumId="6">
    <w:nsid w:val="D2F3B81A"/>
    <w:multiLevelType w:val="singleLevel"/>
    <w:tmpl w:val="D2F3B81A"/>
    <w:lvl w:ilvl="0" w:tentative="0">
      <w:start w:val="1"/>
      <w:numFmt w:val="chineseCounting"/>
      <w:pStyle w:val="50"/>
      <w:suff w:val="nothing"/>
      <w:lvlText w:val="%1、"/>
      <w:lvlJc w:val="left"/>
      <w:pPr>
        <w:ind w:left="0" w:firstLine="0"/>
      </w:pPr>
      <w:rPr>
        <w:rFonts w:hint="eastAsia"/>
      </w:rPr>
    </w:lvl>
  </w:abstractNum>
  <w:abstractNum w:abstractNumId="7">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8">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1"/>
      <w:suff w:val="nothing"/>
      <w:lvlText w:val="(%2)"/>
      <w:lvlJc w:val="left"/>
      <w:pPr>
        <w:ind w:left="0" w:firstLine="0"/>
      </w:pPr>
      <w:rPr>
        <w:rFonts w:hint="eastAsia" w:ascii="宋体" w:hAnsi="宋体" w:eastAsia="宋体" w:cs="宋体"/>
      </w:rPr>
    </w:lvl>
    <w:lvl w:ilvl="2" w:tentative="0">
      <w:start w:val="1"/>
      <w:numFmt w:val="decimal"/>
      <w:pStyle w:val="43"/>
      <w:suff w:val="nothing"/>
      <w:lvlText w:val="%3."/>
      <w:lvlJc w:val="left"/>
      <w:pPr>
        <w:ind w:left="0" w:firstLine="0"/>
      </w:pPr>
      <w:rPr>
        <w:rFonts w:hint="eastAsia" w:ascii="宋体" w:hAnsi="宋体" w:eastAsia="宋体" w:cs="宋体"/>
      </w:rPr>
    </w:lvl>
    <w:lvl w:ilvl="3" w:tentative="0">
      <w:start w:val="1"/>
      <w:numFmt w:val="decimal"/>
      <w:pStyle w:val="44"/>
      <w:suff w:val="nothing"/>
      <w:lvlText w:val="%3.%4"/>
      <w:lvlJc w:val="left"/>
      <w:pPr>
        <w:ind w:left="0" w:firstLine="0"/>
      </w:pPr>
      <w:rPr>
        <w:rFonts w:hint="eastAsia" w:ascii="宋体" w:hAnsi="宋体" w:eastAsia="宋体" w:cs="宋体"/>
      </w:rPr>
    </w:lvl>
    <w:lvl w:ilvl="4" w:tentative="0">
      <w:start w:val="1"/>
      <w:numFmt w:val="decimal"/>
      <w:pStyle w:val="45"/>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9">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0">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1">
    <w:nsid w:val="1517B247"/>
    <w:multiLevelType w:val="singleLevel"/>
    <w:tmpl w:val="1517B247"/>
    <w:lvl w:ilvl="0" w:tentative="0">
      <w:start w:val="3"/>
      <w:numFmt w:val="decimal"/>
      <w:lvlText w:val="%1."/>
      <w:lvlJc w:val="left"/>
      <w:pPr>
        <w:tabs>
          <w:tab w:val="left" w:pos="312"/>
        </w:tabs>
      </w:pPr>
    </w:lvl>
  </w:abstractNum>
  <w:abstractNum w:abstractNumId="12">
    <w:nsid w:val="2811191C"/>
    <w:multiLevelType w:val="singleLevel"/>
    <w:tmpl w:val="2811191C"/>
    <w:lvl w:ilvl="0" w:tentative="0">
      <w:start w:val="2"/>
      <w:numFmt w:val="decimal"/>
      <w:lvlText w:val="%1."/>
      <w:lvlJc w:val="left"/>
      <w:pPr>
        <w:tabs>
          <w:tab w:val="left" w:pos="312"/>
        </w:tabs>
      </w:p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8"/>
  </w:num>
  <w:num w:numId="2">
    <w:abstractNumId w:val="2"/>
  </w:num>
  <w:num w:numId="3">
    <w:abstractNumId w:val="13"/>
  </w:num>
  <w:num w:numId="4">
    <w:abstractNumId w:val="4"/>
  </w:num>
  <w:num w:numId="5">
    <w:abstractNumId w:val="6"/>
  </w:num>
  <w:num w:numId="6">
    <w:abstractNumId w:val="5"/>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dit="forms" w:enforcement="0"/>
  <w:defaultTabStop w:val="0"/>
  <w:drawingGridHorizontalSpacing w:val="2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oa.cdgmxy.edu.cn/seeyon/officeservlet"/>
  </w:docVars>
  <w:rsids>
    <w:rsidRoot w:val="00172A27"/>
    <w:rsid w:val="0000400A"/>
    <w:rsid w:val="000168D4"/>
    <w:rsid w:val="00037BD4"/>
    <w:rsid w:val="000504D4"/>
    <w:rsid w:val="00050929"/>
    <w:rsid w:val="000547F5"/>
    <w:rsid w:val="00060614"/>
    <w:rsid w:val="00064EEB"/>
    <w:rsid w:val="00070B9F"/>
    <w:rsid w:val="00071F90"/>
    <w:rsid w:val="0007314E"/>
    <w:rsid w:val="00073209"/>
    <w:rsid w:val="00080967"/>
    <w:rsid w:val="00083410"/>
    <w:rsid w:val="00083A85"/>
    <w:rsid w:val="00087802"/>
    <w:rsid w:val="000976D9"/>
    <w:rsid w:val="000A22EE"/>
    <w:rsid w:val="000C2894"/>
    <w:rsid w:val="000C482D"/>
    <w:rsid w:val="000D7DD0"/>
    <w:rsid w:val="000E5350"/>
    <w:rsid w:val="0010191C"/>
    <w:rsid w:val="001025A9"/>
    <w:rsid w:val="0010309E"/>
    <w:rsid w:val="0012071D"/>
    <w:rsid w:val="00121A4A"/>
    <w:rsid w:val="00127F82"/>
    <w:rsid w:val="00131289"/>
    <w:rsid w:val="001518D6"/>
    <w:rsid w:val="00151C44"/>
    <w:rsid w:val="00152049"/>
    <w:rsid w:val="001542DB"/>
    <w:rsid w:val="00157B5B"/>
    <w:rsid w:val="0016081E"/>
    <w:rsid w:val="00160D56"/>
    <w:rsid w:val="00166659"/>
    <w:rsid w:val="00172A27"/>
    <w:rsid w:val="00173F26"/>
    <w:rsid w:val="001747EE"/>
    <w:rsid w:val="001776D1"/>
    <w:rsid w:val="00177915"/>
    <w:rsid w:val="00180AAC"/>
    <w:rsid w:val="00190708"/>
    <w:rsid w:val="001B6050"/>
    <w:rsid w:val="001B6985"/>
    <w:rsid w:val="001B7BB6"/>
    <w:rsid w:val="001C42C5"/>
    <w:rsid w:val="001D2E25"/>
    <w:rsid w:val="001E2AED"/>
    <w:rsid w:val="001E6880"/>
    <w:rsid w:val="001E6888"/>
    <w:rsid w:val="002118F5"/>
    <w:rsid w:val="0021681B"/>
    <w:rsid w:val="002214E7"/>
    <w:rsid w:val="00223D43"/>
    <w:rsid w:val="00225683"/>
    <w:rsid w:val="00233E1A"/>
    <w:rsid w:val="00234073"/>
    <w:rsid w:val="00242A0F"/>
    <w:rsid w:val="002435A0"/>
    <w:rsid w:val="00243FF7"/>
    <w:rsid w:val="00247B38"/>
    <w:rsid w:val="00250B5A"/>
    <w:rsid w:val="0025536B"/>
    <w:rsid w:val="002565E2"/>
    <w:rsid w:val="00265EBA"/>
    <w:rsid w:val="00267611"/>
    <w:rsid w:val="00274A24"/>
    <w:rsid w:val="00282CD9"/>
    <w:rsid w:val="00290AF1"/>
    <w:rsid w:val="00290E8E"/>
    <w:rsid w:val="00295A97"/>
    <w:rsid w:val="002B0FEC"/>
    <w:rsid w:val="002B5D9A"/>
    <w:rsid w:val="002B6AE7"/>
    <w:rsid w:val="002B79CA"/>
    <w:rsid w:val="002C53EF"/>
    <w:rsid w:val="002D2B0F"/>
    <w:rsid w:val="002D6050"/>
    <w:rsid w:val="002E06BF"/>
    <w:rsid w:val="002E1A1C"/>
    <w:rsid w:val="002E5F48"/>
    <w:rsid w:val="002F05A6"/>
    <w:rsid w:val="002F3BB7"/>
    <w:rsid w:val="00305FCD"/>
    <w:rsid w:val="00315B60"/>
    <w:rsid w:val="003274CB"/>
    <w:rsid w:val="003446B2"/>
    <w:rsid w:val="00346B27"/>
    <w:rsid w:val="00347724"/>
    <w:rsid w:val="00350C14"/>
    <w:rsid w:val="00353E82"/>
    <w:rsid w:val="003726D1"/>
    <w:rsid w:val="003750BD"/>
    <w:rsid w:val="00396369"/>
    <w:rsid w:val="0039725F"/>
    <w:rsid w:val="003B2228"/>
    <w:rsid w:val="003C13E4"/>
    <w:rsid w:val="003D21F1"/>
    <w:rsid w:val="003E1DCC"/>
    <w:rsid w:val="003F4651"/>
    <w:rsid w:val="00410967"/>
    <w:rsid w:val="00411E40"/>
    <w:rsid w:val="00415E21"/>
    <w:rsid w:val="00436ED6"/>
    <w:rsid w:val="00437B61"/>
    <w:rsid w:val="00445ADF"/>
    <w:rsid w:val="004621F9"/>
    <w:rsid w:val="0046727E"/>
    <w:rsid w:val="00476EC6"/>
    <w:rsid w:val="00482071"/>
    <w:rsid w:val="00483674"/>
    <w:rsid w:val="004861AE"/>
    <w:rsid w:val="00486D20"/>
    <w:rsid w:val="00495036"/>
    <w:rsid w:val="004A1005"/>
    <w:rsid w:val="004A6781"/>
    <w:rsid w:val="004A7D40"/>
    <w:rsid w:val="004B4092"/>
    <w:rsid w:val="004C3BD0"/>
    <w:rsid w:val="004D37D9"/>
    <w:rsid w:val="004D6CDA"/>
    <w:rsid w:val="004E0FA4"/>
    <w:rsid w:val="004E0FDD"/>
    <w:rsid w:val="004E69BE"/>
    <w:rsid w:val="004F2F95"/>
    <w:rsid w:val="004F4409"/>
    <w:rsid w:val="004F468B"/>
    <w:rsid w:val="004F4F03"/>
    <w:rsid w:val="00506600"/>
    <w:rsid w:val="00522770"/>
    <w:rsid w:val="00526D76"/>
    <w:rsid w:val="00535703"/>
    <w:rsid w:val="00551430"/>
    <w:rsid w:val="00554499"/>
    <w:rsid w:val="00557A19"/>
    <w:rsid w:val="00570E40"/>
    <w:rsid w:val="00573162"/>
    <w:rsid w:val="005A1AEB"/>
    <w:rsid w:val="005A661B"/>
    <w:rsid w:val="005B21E3"/>
    <w:rsid w:val="005C09DD"/>
    <w:rsid w:val="005F0C9C"/>
    <w:rsid w:val="005F11FB"/>
    <w:rsid w:val="005F3F05"/>
    <w:rsid w:val="005F6DD5"/>
    <w:rsid w:val="0060439B"/>
    <w:rsid w:val="0060449E"/>
    <w:rsid w:val="006058A4"/>
    <w:rsid w:val="006109FE"/>
    <w:rsid w:val="00614BF4"/>
    <w:rsid w:val="00616B6E"/>
    <w:rsid w:val="00633858"/>
    <w:rsid w:val="00645A49"/>
    <w:rsid w:val="00651388"/>
    <w:rsid w:val="0065581B"/>
    <w:rsid w:val="00664FCF"/>
    <w:rsid w:val="00670841"/>
    <w:rsid w:val="006708EE"/>
    <w:rsid w:val="006934B4"/>
    <w:rsid w:val="00694C4F"/>
    <w:rsid w:val="006A21E2"/>
    <w:rsid w:val="006A3F6C"/>
    <w:rsid w:val="006A532B"/>
    <w:rsid w:val="006A5CE4"/>
    <w:rsid w:val="006B1D4C"/>
    <w:rsid w:val="006B574D"/>
    <w:rsid w:val="006B577C"/>
    <w:rsid w:val="006C21DD"/>
    <w:rsid w:val="006E1794"/>
    <w:rsid w:val="006F6EF3"/>
    <w:rsid w:val="0070600B"/>
    <w:rsid w:val="0071144C"/>
    <w:rsid w:val="00722E70"/>
    <w:rsid w:val="00735F80"/>
    <w:rsid w:val="0074524D"/>
    <w:rsid w:val="00781D9B"/>
    <w:rsid w:val="0078325D"/>
    <w:rsid w:val="00784579"/>
    <w:rsid w:val="00795B4D"/>
    <w:rsid w:val="007A5262"/>
    <w:rsid w:val="007B1188"/>
    <w:rsid w:val="007B1F36"/>
    <w:rsid w:val="007C3EFB"/>
    <w:rsid w:val="007D09EC"/>
    <w:rsid w:val="007D45EE"/>
    <w:rsid w:val="007F300C"/>
    <w:rsid w:val="008003F4"/>
    <w:rsid w:val="008016F9"/>
    <w:rsid w:val="008062AE"/>
    <w:rsid w:val="00806F29"/>
    <w:rsid w:val="00810176"/>
    <w:rsid w:val="00811328"/>
    <w:rsid w:val="00815C57"/>
    <w:rsid w:val="00815F35"/>
    <w:rsid w:val="00820FCF"/>
    <w:rsid w:val="0082614F"/>
    <w:rsid w:val="00850B71"/>
    <w:rsid w:val="0085639C"/>
    <w:rsid w:val="00870688"/>
    <w:rsid w:val="0087454D"/>
    <w:rsid w:val="00890D7F"/>
    <w:rsid w:val="00893DD2"/>
    <w:rsid w:val="00897111"/>
    <w:rsid w:val="008A025C"/>
    <w:rsid w:val="008A0EB1"/>
    <w:rsid w:val="008A2076"/>
    <w:rsid w:val="008B1BB1"/>
    <w:rsid w:val="008E659E"/>
    <w:rsid w:val="008F1529"/>
    <w:rsid w:val="008F1CB6"/>
    <w:rsid w:val="008F4AED"/>
    <w:rsid w:val="008F6628"/>
    <w:rsid w:val="008F717E"/>
    <w:rsid w:val="008F74EB"/>
    <w:rsid w:val="00902627"/>
    <w:rsid w:val="009176CA"/>
    <w:rsid w:val="00931981"/>
    <w:rsid w:val="00932AFD"/>
    <w:rsid w:val="00935924"/>
    <w:rsid w:val="00942ED3"/>
    <w:rsid w:val="00945986"/>
    <w:rsid w:val="00946F94"/>
    <w:rsid w:val="00970E63"/>
    <w:rsid w:val="00990893"/>
    <w:rsid w:val="009A34EC"/>
    <w:rsid w:val="009A5117"/>
    <w:rsid w:val="009C43E6"/>
    <w:rsid w:val="009D01D2"/>
    <w:rsid w:val="009E1E4F"/>
    <w:rsid w:val="009F4A8A"/>
    <w:rsid w:val="009F5992"/>
    <w:rsid w:val="00A02C4B"/>
    <w:rsid w:val="00A13432"/>
    <w:rsid w:val="00A23AFB"/>
    <w:rsid w:val="00A3273B"/>
    <w:rsid w:val="00A355AC"/>
    <w:rsid w:val="00A466E6"/>
    <w:rsid w:val="00A47F1F"/>
    <w:rsid w:val="00A75A1A"/>
    <w:rsid w:val="00A773FD"/>
    <w:rsid w:val="00A82CBD"/>
    <w:rsid w:val="00A837A5"/>
    <w:rsid w:val="00A85E01"/>
    <w:rsid w:val="00A95C07"/>
    <w:rsid w:val="00A9605A"/>
    <w:rsid w:val="00AA51C1"/>
    <w:rsid w:val="00AB65CA"/>
    <w:rsid w:val="00AB67D8"/>
    <w:rsid w:val="00AB7DFC"/>
    <w:rsid w:val="00AC2F78"/>
    <w:rsid w:val="00AC5E59"/>
    <w:rsid w:val="00AE0454"/>
    <w:rsid w:val="00AE67F6"/>
    <w:rsid w:val="00AF3998"/>
    <w:rsid w:val="00AF4DBF"/>
    <w:rsid w:val="00B07B2E"/>
    <w:rsid w:val="00B14E23"/>
    <w:rsid w:val="00B31CC3"/>
    <w:rsid w:val="00B35E59"/>
    <w:rsid w:val="00B6648B"/>
    <w:rsid w:val="00B72CB9"/>
    <w:rsid w:val="00BA69F4"/>
    <w:rsid w:val="00BA6D13"/>
    <w:rsid w:val="00BB299F"/>
    <w:rsid w:val="00BB628B"/>
    <w:rsid w:val="00BE1766"/>
    <w:rsid w:val="00BF4E9E"/>
    <w:rsid w:val="00C00F81"/>
    <w:rsid w:val="00C03ED3"/>
    <w:rsid w:val="00C06A3A"/>
    <w:rsid w:val="00C17A63"/>
    <w:rsid w:val="00C33D5E"/>
    <w:rsid w:val="00C35487"/>
    <w:rsid w:val="00C37C9E"/>
    <w:rsid w:val="00C43BC1"/>
    <w:rsid w:val="00C61A2F"/>
    <w:rsid w:val="00C63018"/>
    <w:rsid w:val="00C7526C"/>
    <w:rsid w:val="00C9386B"/>
    <w:rsid w:val="00C963E3"/>
    <w:rsid w:val="00CA0AAA"/>
    <w:rsid w:val="00CC0388"/>
    <w:rsid w:val="00CC1CB1"/>
    <w:rsid w:val="00CC7F5C"/>
    <w:rsid w:val="00CD401B"/>
    <w:rsid w:val="00CD437E"/>
    <w:rsid w:val="00CD43B3"/>
    <w:rsid w:val="00CD58A7"/>
    <w:rsid w:val="00CE226F"/>
    <w:rsid w:val="00CF53F3"/>
    <w:rsid w:val="00D05AD9"/>
    <w:rsid w:val="00D174EB"/>
    <w:rsid w:val="00D23AEC"/>
    <w:rsid w:val="00D373B2"/>
    <w:rsid w:val="00D37D24"/>
    <w:rsid w:val="00D43DC8"/>
    <w:rsid w:val="00D44A83"/>
    <w:rsid w:val="00D80201"/>
    <w:rsid w:val="00D80754"/>
    <w:rsid w:val="00D827D3"/>
    <w:rsid w:val="00D87B92"/>
    <w:rsid w:val="00D87C93"/>
    <w:rsid w:val="00D93CB4"/>
    <w:rsid w:val="00DA14C3"/>
    <w:rsid w:val="00DA65C9"/>
    <w:rsid w:val="00DB1B6E"/>
    <w:rsid w:val="00DB5C76"/>
    <w:rsid w:val="00DC4298"/>
    <w:rsid w:val="00DC68DD"/>
    <w:rsid w:val="00DD654B"/>
    <w:rsid w:val="00DE41F3"/>
    <w:rsid w:val="00DE5C5F"/>
    <w:rsid w:val="00DF10BC"/>
    <w:rsid w:val="00E04823"/>
    <w:rsid w:val="00E057B6"/>
    <w:rsid w:val="00E214C0"/>
    <w:rsid w:val="00E2173D"/>
    <w:rsid w:val="00E26D0D"/>
    <w:rsid w:val="00E35BFA"/>
    <w:rsid w:val="00E374A6"/>
    <w:rsid w:val="00E419A4"/>
    <w:rsid w:val="00E4291E"/>
    <w:rsid w:val="00E52593"/>
    <w:rsid w:val="00E53568"/>
    <w:rsid w:val="00E74316"/>
    <w:rsid w:val="00E74CE9"/>
    <w:rsid w:val="00E7539A"/>
    <w:rsid w:val="00E83C3F"/>
    <w:rsid w:val="00E85800"/>
    <w:rsid w:val="00E86078"/>
    <w:rsid w:val="00E87BB1"/>
    <w:rsid w:val="00E93F48"/>
    <w:rsid w:val="00E965F8"/>
    <w:rsid w:val="00EA1E54"/>
    <w:rsid w:val="00EB31E1"/>
    <w:rsid w:val="00ED5156"/>
    <w:rsid w:val="00EE2E61"/>
    <w:rsid w:val="00EE2E62"/>
    <w:rsid w:val="00EF4699"/>
    <w:rsid w:val="00EF79A2"/>
    <w:rsid w:val="00F025B2"/>
    <w:rsid w:val="00F0340D"/>
    <w:rsid w:val="00F140D0"/>
    <w:rsid w:val="00F2183F"/>
    <w:rsid w:val="00F22D2F"/>
    <w:rsid w:val="00F2317F"/>
    <w:rsid w:val="00F23715"/>
    <w:rsid w:val="00F32329"/>
    <w:rsid w:val="00F36515"/>
    <w:rsid w:val="00F4295B"/>
    <w:rsid w:val="00F50572"/>
    <w:rsid w:val="00F6233C"/>
    <w:rsid w:val="00F714C7"/>
    <w:rsid w:val="00F9177B"/>
    <w:rsid w:val="00F92202"/>
    <w:rsid w:val="00FD5E6E"/>
    <w:rsid w:val="00FE3AAB"/>
    <w:rsid w:val="00FE4C81"/>
    <w:rsid w:val="00FF46DD"/>
    <w:rsid w:val="01010150"/>
    <w:rsid w:val="01051DA8"/>
    <w:rsid w:val="010C0096"/>
    <w:rsid w:val="012B7796"/>
    <w:rsid w:val="0137401A"/>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74087"/>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EE2978"/>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31E24"/>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E4084"/>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A6145C"/>
    <w:rsid w:val="07B70EEF"/>
    <w:rsid w:val="07BC1F7E"/>
    <w:rsid w:val="07C36603"/>
    <w:rsid w:val="07C40FCD"/>
    <w:rsid w:val="07C621AC"/>
    <w:rsid w:val="07C65804"/>
    <w:rsid w:val="07CF1AD1"/>
    <w:rsid w:val="07D7335A"/>
    <w:rsid w:val="07D879E1"/>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44796E"/>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37679"/>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CB0079"/>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8518B"/>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BF2BF0"/>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33721"/>
    <w:rsid w:val="17A9168B"/>
    <w:rsid w:val="17AD3309"/>
    <w:rsid w:val="17B8158D"/>
    <w:rsid w:val="17C17130"/>
    <w:rsid w:val="17C271C7"/>
    <w:rsid w:val="17C34644"/>
    <w:rsid w:val="17C42AD9"/>
    <w:rsid w:val="17C641EB"/>
    <w:rsid w:val="17CA7BDA"/>
    <w:rsid w:val="17CC0EB6"/>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7187F"/>
    <w:rsid w:val="184D5870"/>
    <w:rsid w:val="184E2F03"/>
    <w:rsid w:val="18511213"/>
    <w:rsid w:val="18521DEB"/>
    <w:rsid w:val="185335C0"/>
    <w:rsid w:val="18690252"/>
    <w:rsid w:val="186A253C"/>
    <w:rsid w:val="18710348"/>
    <w:rsid w:val="187602DD"/>
    <w:rsid w:val="18764A71"/>
    <w:rsid w:val="18782953"/>
    <w:rsid w:val="187A35BD"/>
    <w:rsid w:val="188123CF"/>
    <w:rsid w:val="18865DF7"/>
    <w:rsid w:val="18886008"/>
    <w:rsid w:val="188D0182"/>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7287E"/>
    <w:rsid w:val="19C91C96"/>
    <w:rsid w:val="19E634AD"/>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D67FB"/>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B00F5"/>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C7D86"/>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DF3CF8"/>
    <w:rsid w:val="25E37902"/>
    <w:rsid w:val="25F044F9"/>
    <w:rsid w:val="25F531F5"/>
    <w:rsid w:val="25F72E1B"/>
    <w:rsid w:val="25F74971"/>
    <w:rsid w:val="25FD508B"/>
    <w:rsid w:val="26040109"/>
    <w:rsid w:val="26061962"/>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1E63FA"/>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AD2810"/>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5A5B70"/>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1B031C"/>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0D8A"/>
    <w:rsid w:val="2F502E1A"/>
    <w:rsid w:val="2F5F0E70"/>
    <w:rsid w:val="2F61762B"/>
    <w:rsid w:val="2F690CA0"/>
    <w:rsid w:val="2F6A2071"/>
    <w:rsid w:val="2F7002C7"/>
    <w:rsid w:val="2F730662"/>
    <w:rsid w:val="2F78451E"/>
    <w:rsid w:val="2F800AFA"/>
    <w:rsid w:val="2F846F0C"/>
    <w:rsid w:val="2F8512C8"/>
    <w:rsid w:val="2F853097"/>
    <w:rsid w:val="2F8872A0"/>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9A4878"/>
    <w:rsid w:val="33A03978"/>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92F90"/>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DC9"/>
    <w:rsid w:val="370F0884"/>
    <w:rsid w:val="3713703C"/>
    <w:rsid w:val="371D1C1E"/>
    <w:rsid w:val="371F5B4E"/>
    <w:rsid w:val="371F6EDC"/>
    <w:rsid w:val="372A09FA"/>
    <w:rsid w:val="37330115"/>
    <w:rsid w:val="373529C0"/>
    <w:rsid w:val="37363185"/>
    <w:rsid w:val="373E3E12"/>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75154"/>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075560"/>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C5F26"/>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13200"/>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0F4F66"/>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9E26C2"/>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C4EB3"/>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256C4"/>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85820"/>
    <w:rsid w:val="4B9F32A8"/>
    <w:rsid w:val="4BBA5C6F"/>
    <w:rsid w:val="4BC3761F"/>
    <w:rsid w:val="4BC45D51"/>
    <w:rsid w:val="4BD643C6"/>
    <w:rsid w:val="4BD800F4"/>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57FCD"/>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133BA"/>
    <w:rsid w:val="52174D8F"/>
    <w:rsid w:val="521952B3"/>
    <w:rsid w:val="521B44C0"/>
    <w:rsid w:val="521E5FFD"/>
    <w:rsid w:val="52217DB8"/>
    <w:rsid w:val="52230F41"/>
    <w:rsid w:val="523229AB"/>
    <w:rsid w:val="523F7113"/>
    <w:rsid w:val="524450A3"/>
    <w:rsid w:val="52447FE3"/>
    <w:rsid w:val="52510CC8"/>
    <w:rsid w:val="52583CBA"/>
    <w:rsid w:val="525D3F9D"/>
    <w:rsid w:val="52643FB3"/>
    <w:rsid w:val="5268101F"/>
    <w:rsid w:val="526D7E77"/>
    <w:rsid w:val="5270414C"/>
    <w:rsid w:val="52765CA0"/>
    <w:rsid w:val="528331E0"/>
    <w:rsid w:val="52854BA3"/>
    <w:rsid w:val="52876BB3"/>
    <w:rsid w:val="52884091"/>
    <w:rsid w:val="52950C65"/>
    <w:rsid w:val="52A770BB"/>
    <w:rsid w:val="52B224F0"/>
    <w:rsid w:val="52B41F04"/>
    <w:rsid w:val="52C249D3"/>
    <w:rsid w:val="52C54517"/>
    <w:rsid w:val="52C660C9"/>
    <w:rsid w:val="52C93B57"/>
    <w:rsid w:val="52CF29D7"/>
    <w:rsid w:val="52D94139"/>
    <w:rsid w:val="52E249FF"/>
    <w:rsid w:val="52E3567F"/>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8187E"/>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B1B4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14563"/>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403BD"/>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C06C1"/>
    <w:rsid w:val="5C964412"/>
    <w:rsid w:val="5C992D62"/>
    <w:rsid w:val="5C9A5E31"/>
    <w:rsid w:val="5C9D12CA"/>
    <w:rsid w:val="5CA16127"/>
    <w:rsid w:val="5CA6222B"/>
    <w:rsid w:val="5CAD65A1"/>
    <w:rsid w:val="5CB02287"/>
    <w:rsid w:val="5CB2756A"/>
    <w:rsid w:val="5CBE2888"/>
    <w:rsid w:val="5CC24B59"/>
    <w:rsid w:val="5CC26ECC"/>
    <w:rsid w:val="5CC82078"/>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2F35A7"/>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8969D7"/>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365B0"/>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715F50"/>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03B58"/>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0A92"/>
    <w:rsid w:val="687F65AF"/>
    <w:rsid w:val="68802A41"/>
    <w:rsid w:val="68864EF9"/>
    <w:rsid w:val="688961EE"/>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C7FC0"/>
    <w:rsid w:val="68FE484C"/>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CF025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C1A18"/>
    <w:rsid w:val="6CFD6FF9"/>
    <w:rsid w:val="6D001895"/>
    <w:rsid w:val="6D087E1C"/>
    <w:rsid w:val="6D0A50E5"/>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B0867"/>
    <w:rsid w:val="705C0DF8"/>
    <w:rsid w:val="706458F5"/>
    <w:rsid w:val="7071791F"/>
    <w:rsid w:val="70752D52"/>
    <w:rsid w:val="707675BB"/>
    <w:rsid w:val="70780A97"/>
    <w:rsid w:val="70853B44"/>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1615DE"/>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A5C4D"/>
    <w:rsid w:val="729C07FE"/>
    <w:rsid w:val="729C1ED0"/>
    <w:rsid w:val="729D10E3"/>
    <w:rsid w:val="72A65B46"/>
    <w:rsid w:val="72AB7053"/>
    <w:rsid w:val="72B05801"/>
    <w:rsid w:val="72B20521"/>
    <w:rsid w:val="72B80B69"/>
    <w:rsid w:val="72B840F4"/>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40EAD"/>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3B311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4"/>
    <w:qFormat/>
    <w:uiPriority w:val="0"/>
    <w:pPr>
      <w:keepNext/>
      <w:keepLines/>
      <w:outlineLvl w:val="0"/>
    </w:pPr>
    <w:rPr>
      <w:b/>
      <w:kern w:val="44"/>
      <w:sz w:val="44"/>
    </w:rPr>
  </w:style>
  <w:style w:type="paragraph" w:styleId="5">
    <w:name w:val="heading 2"/>
    <w:basedOn w:val="1"/>
    <w:next w:val="1"/>
    <w:link w:val="40"/>
    <w:unhideWhenUsed/>
    <w:qFormat/>
    <w:uiPriority w:val="0"/>
    <w:pPr>
      <w:keepNext/>
      <w:keepLines/>
      <w:spacing w:line="500" w:lineRule="exact"/>
      <w:outlineLvl w:val="1"/>
    </w:pPr>
    <w:rPr>
      <w:rFonts w:ascii="Arial" w:hAnsi="Arial" w:eastAsia="黑体"/>
      <w:b/>
      <w:sz w:val="28"/>
    </w:rPr>
  </w:style>
  <w:style w:type="paragraph" w:styleId="6">
    <w:name w:val="heading 3"/>
    <w:basedOn w:val="1"/>
    <w:next w:val="1"/>
    <w:unhideWhenUsed/>
    <w:qFormat/>
    <w:uiPriority w:val="0"/>
    <w:pPr>
      <w:outlineLvl w:val="2"/>
    </w:pPr>
    <w:rPr>
      <w:rFonts w:hint="eastAsia" w:cs="Times New Roman"/>
      <w:b/>
      <w:kern w:val="0"/>
      <w:sz w:val="27"/>
      <w:szCs w:val="27"/>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rPr>
  </w:style>
  <w:style w:type="paragraph" w:customStyle="1" w:styleId="4">
    <w:name w:val="表内段落"/>
    <w:qFormat/>
    <w:uiPriority w:val="0"/>
    <w:pPr>
      <w:adjustRightInd w:val="0"/>
      <w:snapToGrid w:val="0"/>
      <w:ind w:firstLine="200" w:firstLineChars="200"/>
      <w:jc w:val="both"/>
    </w:pPr>
    <w:rPr>
      <w:rFonts w:ascii="仿宋" w:hAnsi="仿宋" w:eastAsia="仿宋" w:cs="仿宋"/>
      <w:kern w:val="2"/>
      <w:sz w:val="21"/>
      <w:szCs w:val="21"/>
      <w:lang w:val="en-US" w:eastAsia="zh-CN" w:bidi="ar-SA"/>
    </w:rPr>
  </w:style>
  <w:style w:type="paragraph" w:styleId="11">
    <w:name w:val="Normal Indent"/>
    <w:basedOn w:val="1"/>
    <w:qFormat/>
    <w:uiPriority w:val="0"/>
    <w:pPr>
      <w:ind w:firstLine="420" w:firstLineChars="200"/>
    </w:pPr>
  </w:style>
  <w:style w:type="paragraph" w:styleId="12">
    <w:name w:val="annotation text"/>
    <w:basedOn w:val="1"/>
    <w:link w:val="84"/>
    <w:qFormat/>
    <w:uiPriority w:val="0"/>
  </w:style>
  <w:style w:type="paragraph" w:styleId="13">
    <w:name w:val="Body Text Indent"/>
    <w:basedOn w:val="1"/>
    <w:qFormat/>
    <w:uiPriority w:val="0"/>
    <w:pPr>
      <w:ind w:firstLine="538" w:firstLineChars="168"/>
    </w:pPr>
    <w:rPr>
      <w:rFonts w:ascii="仿宋_GB2312" w:eastAsia="仿宋_GB2312"/>
      <w:sz w:val="32"/>
    </w:rPr>
  </w:style>
  <w:style w:type="paragraph" w:styleId="14">
    <w:name w:val="toc 3"/>
    <w:basedOn w:val="1"/>
    <w:next w:val="1"/>
    <w:qFormat/>
    <w:uiPriority w:val="0"/>
    <w:pPr>
      <w:wordWrap w:val="0"/>
      <w:topLinePunct/>
      <w:spacing w:line="400" w:lineRule="exact"/>
      <w:ind w:left="840" w:leftChars="400"/>
    </w:pPr>
    <w:rPr>
      <w:sz w:val="21"/>
    </w:rPr>
  </w:style>
  <w:style w:type="paragraph" w:styleId="15">
    <w:name w:val="footer"/>
    <w:basedOn w:val="1"/>
    <w:link w:val="39"/>
    <w:qFormat/>
    <w:uiPriority w:val="0"/>
    <w:pPr>
      <w:spacing w:line="240" w:lineRule="auto"/>
    </w:pPr>
    <w:rPr>
      <w:sz w:val="18"/>
      <w:szCs w:val="18"/>
    </w:rPr>
  </w:style>
  <w:style w:type="paragraph" w:styleId="16">
    <w:name w:val="header"/>
    <w:basedOn w:val="1"/>
    <w:link w:val="38"/>
    <w:qFormat/>
    <w:uiPriority w:val="0"/>
    <w:pPr>
      <w:pBdr>
        <w:bottom w:val="single" w:color="auto" w:sz="6" w:space="1"/>
      </w:pBdr>
      <w:wordWrap w:val="0"/>
      <w:topLinePunct/>
      <w:spacing w:line="240" w:lineRule="auto"/>
      <w:jc w:val="center"/>
    </w:pPr>
    <w:rPr>
      <w:sz w:val="18"/>
      <w:szCs w:val="18"/>
    </w:rPr>
  </w:style>
  <w:style w:type="paragraph" w:styleId="17">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18">
    <w:name w:val="toc 2"/>
    <w:basedOn w:val="1"/>
    <w:next w:val="1"/>
    <w:qFormat/>
    <w:uiPriority w:val="0"/>
    <w:pPr>
      <w:wordWrap w:val="0"/>
      <w:topLinePunct/>
      <w:spacing w:line="400" w:lineRule="exact"/>
      <w:ind w:left="420" w:leftChars="200"/>
    </w:pPr>
    <w:rPr>
      <w:sz w:val="21"/>
    </w:rPr>
  </w:style>
  <w:style w:type="paragraph" w:styleId="19">
    <w:name w:val="Normal (Web)"/>
    <w:basedOn w:val="1"/>
    <w:qFormat/>
    <w:uiPriority w:val="0"/>
    <w:pPr>
      <w:spacing w:beforeAutospacing="1" w:afterAutospacing="1"/>
    </w:pPr>
    <w:rPr>
      <w:rFonts w:cs="Times New Roman"/>
      <w:kern w:val="0"/>
    </w:rPr>
  </w:style>
  <w:style w:type="paragraph" w:styleId="20">
    <w:name w:val="Title"/>
    <w:basedOn w:val="1"/>
    <w:next w:val="1"/>
    <w:qFormat/>
    <w:uiPriority w:val="0"/>
    <w:pPr>
      <w:spacing w:before="240" w:after="60"/>
      <w:jc w:val="center"/>
      <w:outlineLvl w:val="0"/>
    </w:pPr>
    <w:rPr>
      <w:rFonts w:asciiTheme="majorHAnsi" w:hAnsiTheme="majorHAnsi" w:cstheme="majorBidi"/>
      <w:b/>
      <w:bCs/>
      <w:sz w:val="32"/>
      <w:szCs w:val="32"/>
    </w:rPr>
  </w:style>
  <w:style w:type="paragraph" w:styleId="21">
    <w:name w:val="annotation subject"/>
    <w:basedOn w:val="12"/>
    <w:next w:val="12"/>
    <w:link w:val="85"/>
    <w:qFormat/>
    <w:uiPriority w:val="0"/>
    <w:rPr>
      <w:b/>
      <w:bCs/>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qFormat/>
    <w:uiPriority w:val="0"/>
    <w:rPr>
      <w:rFonts w:hint="eastAsia" w:ascii="微软雅黑" w:hAnsi="微软雅黑" w:eastAsia="微软雅黑" w:cs="微软雅黑"/>
      <w:color w:val="02396F"/>
      <w:u w:val="single"/>
    </w:rPr>
  </w:style>
  <w:style w:type="character" w:styleId="26">
    <w:name w:val="Hyperlink"/>
    <w:basedOn w:val="24"/>
    <w:qFormat/>
    <w:uiPriority w:val="0"/>
    <w:rPr>
      <w:color w:val="0000FF"/>
      <w:u w:val="single"/>
    </w:rPr>
  </w:style>
  <w:style w:type="character" w:styleId="27">
    <w:name w:val="annotation reference"/>
    <w:basedOn w:val="24"/>
    <w:qFormat/>
    <w:uiPriority w:val="0"/>
    <w:rPr>
      <w:sz w:val="21"/>
      <w:szCs w:val="21"/>
    </w:rPr>
  </w:style>
  <w:style w:type="paragraph" w:customStyle="1" w:styleId="28">
    <w:name w:val="14、“第一章”一级标题"/>
    <w:basedOn w:val="29"/>
    <w:qFormat/>
    <w:uiPriority w:val="0"/>
    <w:pPr>
      <w:numPr>
        <w:ilvl w:val="0"/>
        <w:numId w:val="2"/>
      </w:numPr>
      <w:spacing w:before="50" w:beforeLines="50" w:after="50" w:afterLines="50" w:line="240" w:lineRule="auto"/>
      <w:jc w:val="center"/>
      <w:outlineLvl w:val="0"/>
    </w:pPr>
    <w:rPr>
      <w:b/>
      <w:sz w:val="36"/>
    </w:rPr>
  </w:style>
  <w:style w:type="paragraph" w:customStyle="1" w:styleId="29">
    <w:name w:val="01、普通正文"/>
    <w:basedOn w:val="1"/>
    <w:link w:val="60"/>
    <w:qFormat/>
    <w:uiPriority w:val="0"/>
    <w:pPr>
      <w:wordWrap w:val="0"/>
      <w:topLinePunct/>
    </w:pPr>
    <w:rPr>
      <w:snapToGrid w:val="0"/>
    </w:rPr>
  </w:style>
  <w:style w:type="paragraph" w:customStyle="1" w:styleId="30">
    <w:name w:val="15、“一、”二级标题"/>
    <w:basedOn w:val="1"/>
    <w:qFormat/>
    <w:uiPriority w:val="0"/>
    <w:pPr>
      <w:numPr>
        <w:ilvl w:val="1"/>
        <w:numId w:val="2"/>
      </w:numPr>
      <w:wordWrap w:val="0"/>
      <w:topLinePunct/>
      <w:ind w:firstLine="803" w:firstLineChars="200"/>
      <w:outlineLvl w:val="1"/>
    </w:pPr>
    <w:rPr>
      <w:b/>
    </w:rPr>
  </w:style>
  <w:style w:type="paragraph" w:customStyle="1" w:styleId="31">
    <w:name w:val="16、“(一)”三级标题"/>
    <w:basedOn w:val="29"/>
    <w:link w:val="58"/>
    <w:qFormat/>
    <w:uiPriority w:val="0"/>
    <w:pPr>
      <w:numPr>
        <w:ilvl w:val="2"/>
        <w:numId w:val="2"/>
      </w:numPr>
      <w:ind w:firstLine="803" w:firstLineChars="200"/>
      <w:outlineLvl w:val="2"/>
    </w:pPr>
    <w:rPr>
      <w:b/>
    </w:rPr>
  </w:style>
  <w:style w:type="paragraph" w:customStyle="1" w:styleId="32">
    <w:name w:val="17“1.”四级标题"/>
    <w:basedOn w:val="33"/>
    <w:qFormat/>
    <w:uiPriority w:val="0"/>
    <w:pPr>
      <w:numPr>
        <w:ilvl w:val="3"/>
        <w:numId w:val="2"/>
      </w:numPr>
      <w:ind w:firstLine="803"/>
    </w:pPr>
  </w:style>
  <w:style w:type="paragraph" w:customStyle="1" w:styleId="33">
    <w:name w:val="02、首行缩进2字符正文"/>
    <w:basedOn w:val="1"/>
    <w:link w:val="59"/>
    <w:qFormat/>
    <w:uiPriority w:val="0"/>
    <w:pPr>
      <w:wordWrap w:val="0"/>
      <w:topLinePunct/>
      <w:ind w:firstLine="480" w:firstLineChars="200"/>
    </w:pPr>
  </w:style>
  <w:style w:type="paragraph" w:customStyle="1" w:styleId="34">
    <w:name w:val="18、“1.1”五级标题"/>
    <w:basedOn w:val="32"/>
    <w:qFormat/>
    <w:uiPriority w:val="0"/>
    <w:pPr>
      <w:numPr>
        <w:ilvl w:val="4"/>
      </w:numPr>
      <w:ind w:firstLine="803"/>
    </w:pPr>
  </w:style>
  <w:style w:type="paragraph" w:customStyle="1" w:styleId="35">
    <w:name w:val="19、“(1)”六级标题"/>
    <w:basedOn w:val="32"/>
    <w:qFormat/>
    <w:uiPriority w:val="0"/>
    <w:pPr>
      <w:numPr>
        <w:ilvl w:val="5"/>
      </w:numPr>
      <w:ind w:firstLine="803"/>
    </w:pPr>
  </w:style>
  <w:style w:type="paragraph" w:customStyle="1" w:styleId="36">
    <w:name w:val="标题 5（有编号）（绿盟科技）"/>
    <w:basedOn w:val="1"/>
    <w:next w:val="37"/>
    <w:qFormat/>
    <w:uiPriority w:val="0"/>
    <w:pPr>
      <w:keepNext/>
      <w:keepLines/>
      <w:numPr>
        <w:ilvl w:val="4"/>
        <w:numId w:val="3"/>
      </w:numPr>
      <w:spacing w:before="280" w:after="156" w:line="377" w:lineRule="auto"/>
      <w:outlineLvl w:val="4"/>
    </w:pPr>
    <w:rPr>
      <w:rFonts w:ascii="Arial" w:hAnsi="Arial" w:eastAsia="黑体"/>
      <w:b/>
      <w:kern w:val="0"/>
      <w:szCs w:val="28"/>
    </w:rPr>
  </w:style>
  <w:style w:type="paragraph" w:customStyle="1" w:styleId="3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8">
    <w:name w:val="页眉 字符"/>
    <w:basedOn w:val="24"/>
    <w:link w:val="16"/>
    <w:qFormat/>
    <w:uiPriority w:val="0"/>
    <w:rPr>
      <w:rFonts w:ascii="宋体" w:hAnsi="宋体" w:eastAsia="宋体" w:cstheme="minorBidi"/>
      <w:kern w:val="2"/>
      <w:sz w:val="18"/>
      <w:szCs w:val="18"/>
    </w:rPr>
  </w:style>
  <w:style w:type="character" w:customStyle="1" w:styleId="39">
    <w:name w:val="页脚 字符"/>
    <w:basedOn w:val="24"/>
    <w:link w:val="15"/>
    <w:qFormat/>
    <w:uiPriority w:val="0"/>
    <w:rPr>
      <w:rFonts w:ascii="宋体" w:hAnsi="宋体" w:eastAsia="宋体" w:cstheme="minorBidi"/>
      <w:kern w:val="2"/>
      <w:sz w:val="18"/>
      <w:szCs w:val="18"/>
    </w:rPr>
  </w:style>
  <w:style w:type="character" w:customStyle="1" w:styleId="40">
    <w:name w:val="标题 2 字符"/>
    <w:basedOn w:val="24"/>
    <w:link w:val="5"/>
    <w:qFormat/>
    <w:uiPriority w:val="0"/>
    <w:rPr>
      <w:rFonts w:ascii="Arial" w:hAnsi="Arial" w:eastAsia="黑体"/>
      <w:b/>
      <w:sz w:val="28"/>
    </w:rPr>
  </w:style>
  <w:style w:type="paragraph" w:customStyle="1" w:styleId="41">
    <w:name w:val="05、“(一)”正文三级标题"/>
    <w:basedOn w:val="1"/>
    <w:link w:val="62"/>
    <w:qFormat/>
    <w:uiPriority w:val="0"/>
    <w:pPr>
      <w:numPr>
        <w:ilvl w:val="1"/>
        <w:numId w:val="1"/>
      </w:numPr>
      <w:wordWrap w:val="0"/>
      <w:topLinePunct/>
      <w:ind w:firstLine="803" w:firstLineChars="200"/>
    </w:pPr>
  </w:style>
  <w:style w:type="paragraph" w:customStyle="1" w:styleId="42">
    <w:name w:val="00、封面正文(与其他内容无关的格式)"/>
    <w:basedOn w:val="1"/>
    <w:qFormat/>
    <w:uiPriority w:val="0"/>
  </w:style>
  <w:style w:type="paragraph" w:customStyle="1" w:styleId="43">
    <w:name w:val="06、“1.”正文四级标题"/>
    <w:basedOn w:val="1"/>
    <w:link w:val="64"/>
    <w:qFormat/>
    <w:uiPriority w:val="0"/>
    <w:pPr>
      <w:numPr>
        <w:ilvl w:val="2"/>
        <w:numId w:val="1"/>
      </w:numPr>
      <w:wordWrap w:val="0"/>
      <w:topLinePunct/>
      <w:ind w:firstLine="803" w:firstLineChars="200"/>
    </w:pPr>
    <w:rPr>
      <w:snapToGrid w:val="0"/>
    </w:rPr>
  </w:style>
  <w:style w:type="paragraph" w:customStyle="1" w:styleId="44">
    <w:name w:val="07、“1.1”正文五级标题"/>
    <w:basedOn w:val="1"/>
    <w:link w:val="56"/>
    <w:qFormat/>
    <w:uiPriority w:val="0"/>
    <w:pPr>
      <w:numPr>
        <w:ilvl w:val="3"/>
        <w:numId w:val="1"/>
      </w:numPr>
      <w:ind w:firstLine="803" w:firstLineChars="200"/>
    </w:pPr>
  </w:style>
  <w:style w:type="paragraph" w:customStyle="1" w:styleId="45">
    <w:name w:val="08、“(1)”正文六级标题"/>
    <w:basedOn w:val="1"/>
    <w:link w:val="65"/>
    <w:qFormat/>
    <w:uiPriority w:val="0"/>
    <w:pPr>
      <w:numPr>
        <w:ilvl w:val="4"/>
        <w:numId w:val="1"/>
      </w:numPr>
      <w:ind w:firstLine="803" w:firstLineChars="200"/>
    </w:pPr>
    <w:rPr>
      <w:snapToGrid w:val="0"/>
    </w:rPr>
  </w:style>
  <w:style w:type="paragraph" w:customStyle="1" w:styleId="46">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7">
    <w:name w:val="10、“1.1”表格内二级标题"/>
    <w:basedOn w:val="1"/>
    <w:link w:val="55"/>
    <w:qFormat/>
    <w:uiPriority w:val="0"/>
    <w:pPr>
      <w:numPr>
        <w:ilvl w:val="1"/>
        <w:numId w:val="4"/>
      </w:numPr>
      <w:wordWrap w:val="0"/>
      <w:topLinePunct/>
      <w:spacing w:line="360" w:lineRule="exact"/>
      <w:ind w:left="48" w:leftChars="20"/>
    </w:pPr>
    <w:rPr>
      <w:snapToGrid w:val="0"/>
      <w:sz w:val="21"/>
    </w:rPr>
  </w:style>
  <w:style w:type="paragraph" w:customStyle="1" w:styleId="48">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9">
    <w:name w:val="12、表格内左对齐正文"/>
    <w:basedOn w:val="1"/>
    <w:link w:val="66"/>
    <w:qFormat/>
    <w:uiPriority w:val="0"/>
    <w:pPr>
      <w:wordWrap w:val="0"/>
      <w:topLinePunct/>
      <w:spacing w:line="360" w:lineRule="exact"/>
      <w:ind w:left="48" w:leftChars="20"/>
    </w:pPr>
    <w:rPr>
      <w:snapToGrid w:val="0"/>
      <w:sz w:val="21"/>
    </w:rPr>
  </w:style>
  <w:style w:type="paragraph" w:customStyle="1" w:styleId="50">
    <w:name w:val="20、第二章“一、”二级标题"/>
    <w:basedOn w:val="29"/>
    <w:qFormat/>
    <w:uiPriority w:val="0"/>
    <w:pPr>
      <w:numPr>
        <w:ilvl w:val="0"/>
        <w:numId w:val="5"/>
      </w:numPr>
      <w:spacing w:before="50" w:beforeLines="50" w:after="50" w:afterLines="50"/>
      <w:jc w:val="center"/>
      <w:outlineLvl w:val="1"/>
    </w:pPr>
    <w:rPr>
      <w:b/>
      <w:sz w:val="32"/>
    </w:rPr>
  </w:style>
  <w:style w:type="paragraph" w:customStyle="1" w:styleId="51">
    <w:name w:val="21、第三章“(一)”三级标题"/>
    <w:basedOn w:val="29"/>
    <w:link w:val="57"/>
    <w:qFormat/>
    <w:uiPriority w:val="0"/>
    <w:pPr>
      <w:pageBreakBefore/>
      <w:spacing w:before="50" w:beforeLines="50" w:after="50" w:afterLines="50"/>
      <w:jc w:val="center"/>
      <w:outlineLvl w:val="2"/>
    </w:pPr>
    <w:rPr>
      <w:b/>
      <w:sz w:val="28"/>
    </w:rPr>
  </w:style>
  <w:style w:type="paragraph" w:customStyle="1" w:styleId="52">
    <w:name w:val="13、表格内居中正文"/>
    <w:basedOn w:val="1"/>
    <w:qFormat/>
    <w:uiPriority w:val="0"/>
    <w:pPr>
      <w:wordWrap w:val="0"/>
      <w:topLinePunct/>
      <w:spacing w:line="360" w:lineRule="exact"/>
      <w:jc w:val="center"/>
    </w:pPr>
    <w:rPr>
      <w:sz w:val="21"/>
    </w:rPr>
  </w:style>
  <w:style w:type="paragraph" w:customStyle="1" w:styleId="53">
    <w:name w:val="03、“注：”正文(加粗，首行缩进2字符)"/>
    <w:basedOn w:val="29"/>
    <w:link w:val="61"/>
    <w:qFormat/>
    <w:uiPriority w:val="0"/>
    <w:pPr>
      <w:ind w:firstLine="480" w:firstLineChars="200"/>
    </w:pPr>
    <w:rPr>
      <w:b/>
    </w:rPr>
  </w:style>
  <w:style w:type="paragraph" w:customStyle="1" w:styleId="54">
    <w:name w:val="04“一、”正文二级标题"/>
    <w:basedOn w:val="29"/>
    <w:link w:val="63"/>
    <w:qFormat/>
    <w:uiPriority w:val="0"/>
    <w:pPr>
      <w:ind w:firstLine="803" w:firstLineChars="200"/>
    </w:pPr>
  </w:style>
  <w:style w:type="character" w:customStyle="1" w:styleId="55">
    <w:name w:val="10、“1.1”表格内二级标题 Char"/>
    <w:link w:val="47"/>
    <w:qFormat/>
    <w:uiPriority w:val="0"/>
    <w:rPr>
      <w:rFonts w:ascii="宋体" w:hAnsi="宋体" w:eastAsia="宋体"/>
      <w:snapToGrid w:val="0"/>
      <w:sz w:val="21"/>
    </w:rPr>
  </w:style>
  <w:style w:type="character" w:customStyle="1" w:styleId="56">
    <w:name w:val="07、“1.1”正文五级标题 Char"/>
    <w:link w:val="44"/>
    <w:qFormat/>
    <w:uiPriority w:val="0"/>
    <w:rPr>
      <w:rFonts w:ascii="宋体" w:hAnsi="宋体" w:eastAsia="宋体"/>
    </w:rPr>
  </w:style>
  <w:style w:type="character" w:customStyle="1" w:styleId="57">
    <w:name w:val="18、第三章“(一)”三级标题 Char"/>
    <w:link w:val="51"/>
    <w:qFormat/>
    <w:uiPriority w:val="0"/>
    <w:rPr>
      <w:rFonts w:ascii="宋体" w:hAnsi="宋体" w:cstheme="minorBidi"/>
      <w:b/>
      <w:snapToGrid w:val="0"/>
      <w:kern w:val="2"/>
      <w:sz w:val="28"/>
      <w:szCs w:val="24"/>
    </w:rPr>
  </w:style>
  <w:style w:type="character" w:customStyle="1" w:styleId="58">
    <w:name w:val="16、“(一)”三级标题 Char"/>
    <w:link w:val="31"/>
    <w:qFormat/>
    <w:uiPriority w:val="0"/>
    <w:rPr>
      <w:rFonts w:ascii="宋体" w:hAnsi="宋体" w:eastAsia="宋体"/>
      <w:b/>
    </w:rPr>
  </w:style>
  <w:style w:type="character" w:customStyle="1" w:styleId="59">
    <w:name w:val="02、首行缩进2字符正文 Char"/>
    <w:link w:val="33"/>
    <w:qFormat/>
    <w:uiPriority w:val="0"/>
    <w:rPr>
      <w:rFonts w:ascii="宋体" w:hAnsi="宋体" w:eastAsia="宋体"/>
    </w:rPr>
  </w:style>
  <w:style w:type="character" w:customStyle="1" w:styleId="60">
    <w:name w:val="01、普通正文 Char"/>
    <w:link w:val="29"/>
    <w:qFormat/>
    <w:uiPriority w:val="0"/>
    <w:rPr>
      <w:rFonts w:ascii="宋体" w:hAnsi="宋体" w:eastAsia="宋体"/>
      <w:snapToGrid w:val="0"/>
    </w:rPr>
  </w:style>
  <w:style w:type="character" w:customStyle="1" w:styleId="61">
    <w:name w:val="03、“注：”正文(加粗，首行缩进2字符) Char"/>
    <w:link w:val="53"/>
    <w:qFormat/>
    <w:uiPriority w:val="0"/>
    <w:rPr>
      <w:b/>
    </w:rPr>
  </w:style>
  <w:style w:type="character" w:customStyle="1" w:styleId="62">
    <w:name w:val="05、“(一)”正文三级标题 Char"/>
    <w:link w:val="41"/>
    <w:qFormat/>
    <w:uiPriority w:val="0"/>
    <w:rPr>
      <w:rFonts w:ascii="宋体" w:hAnsi="宋体" w:eastAsia="宋体"/>
    </w:rPr>
  </w:style>
  <w:style w:type="character" w:customStyle="1" w:styleId="63">
    <w:name w:val="04“一、”正文二级标题 Char"/>
    <w:link w:val="54"/>
    <w:qFormat/>
    <w:uiPriority w:val="0"/>
  </w:style>
  <w:style w:type="character" w:customStyle="1" w:styleId="64">
    <w:name w:val="06、“1.”正文四级标题 Char"/>
    <w:link w:val="43"/>
    <w:qFormat/>
    <w:uiPriority w:val="0"/>
    <w:rPr>
      <w:rFonts w:ascii="宋体" w:hAnsi="宋体" w:eastAsia="宋体"/>
      <w:snapToGrid w:val="0"/>
    </w:rPr>
  </w:style>
  <w:style w:type="character" w:customStyle="1" w:styleId="65">
    <w:name w:val="08、“(1)”正文六级标题 Char"/>
    <w:link w:val="45"/>
    <w:qFormat/>
    <w:uiPriority w:val="0"/>
    <w:rPr>
      <w:rFonts w:ascii="宋体" w:hAnsi="宋体" w:eastAsia="宋体"/>
      <w:snapToGrid w:val="0"/>
    </w:rPr>
  </w:style>
  <w:style w:type="character" w:customStyle="1" w:styleId="66">
    <w:name w:val="12、表格内左对齐正文 Char"/>
    <w:link w:val="49"/>
    <w:qFormat/>
    <w:uiPriority w:val="0"/>
    <w:rPr>
      <w:rFonts w:ascii="宋体" w:hAnsi="宋体" w:eastAsia="宋体"/>
      <w:snapToGrid w:val="0"/>
      <w:sz w:val="21"/>
    </w:rPr>
  </w:style>
  <w:style w:type="paragraph" w:customStyle="1" w:styleId="67">
    <w:name w:val="样式 首行缩进:  2 字符"/>
    <w:basedOn w:val="1"/>
    <w:qFormat/>
    <w:uiPriority w:val="0"/>
    <w:pPr>
      <w:spacing w:line="400" w:lineRule="exact"/>
      <w:ind w:firstLine="200" w:firstLineChars="200"/>
    </w:pPr>
    <w:rPr>
      <w:rFonts w:cs="宋体"/>
    </w:rPr>
  </w:style>
  <w:style w:type="character" w:customStyle="1" w:styleId="68">
    <w:name w:val="redfilefwwh"/>
    <w:basedOn w:val="24"/>
    <w:qFormat/>
    <w:uiPriority w:val="0"/>
    <w:rPr>
      <w:color w:val="BA2636"/>
      <w:sz w:val="12"/>
      <w:szCs w:val="12"/>
    </w:rPr>
  </w:style>
  <w:style w:type="character" w:customStyle="1" w:styleId="69">
    <w:name w:val="qxdate"/>
    <w:basedOn w:val="24"/>
    <w:qFormat/>
    <w:uiPriority w:val="0"/>
    <w:rPr>
      <w:color w:val="333333"/>
      <w:sz w:val="12"/>
      <w:szCs w:val="12"/>
    </w:rPr>
  </w:style>
  <w:style w:type="character" w:customStyle="1" w:styleId="70">
    <w:name w:val="cfdate"/>
    <w:basedOn w:val="24"/>
    <w:qFormat/>
    <w:uiPriority w:val="0"/>
    <w:rPr>
      <w:color w:val="333333"/>
      <w:sz w:val="12"/>
      <w:szCs w:val="12"/>
    </w:rPr>
  </w:style>
  <w:style w:type="character" w:customStyle="1" w:styleId="71">
    <w:name w:val="gjfg"/>
    <w:basedOn w:val="24"/>
    <w:qFormat/>
    <w:uiPriority w:val="0"/>
  </w:style>
  <w:style w:type="character" w:customStyle="1" w:styleId="72">
    <w:name w:val="displayarti"/>
    <w:basedOn w:val="24"/>
    <w:qFormat/>
    <w:uiPriority w:val="0"/>
    <w:rPr>
      <w:color w:val="FFFFFF"/>
      <w:shd w:val="clear" w:color="auto" w:fill="A00000"/>
    </w:rPr>
  </w:style>
  <w:style w:type="character" w:customStyle="1" w:styleId="73">
    <w:name w:val="redfilenumber"/>
    <w:basedOn w:val="24"/>
    <w:qFormat/>
    <w:uiPriority w:val="0"/>
    <w:rPr>
      <w:color w:val="BA2636"/>
      <w:sz w:val="12"/>
      <w:szCs w:val="12"/>
    </w:rPr>
  </w:style>
  <w:style w:type="paragraph" w:customStyle="1" w:styleId="74">
    <w:name w:val="20、第五章“(一)”三级标题"/>
    <w:basedOn w:val="29"/>
    <w:qFormat/>
    <w:uiPriority w:val="0"/>
    <w:pPr>
      <w:pageBreakBefore/>
      <w:numPr>
        <w:ilvl w:val="0"/>
        <w:numId w:val="6"/>
      </w:numPr>
      <w:spacing w:before="50" w:beforeLines="50" w:after="50" w:afterLines="50"/>
      <w:jc w:val="center"/>
      <w:outlineLvl w:val="2"/>
    </w:pPr>
    <w:rPr>
      <w:b/>
      <w:sz w:val="28"/>
    </w:rPr>
  </w:style>
  <w:style w:type="paragraph" w:styleId="75">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6">
    <w:name w:val="图表文字"/>
    <w:basedOn w:val="1"/>
    <w:qFormat/>
    <w:uiPriority w:val="99"/>
    <w:pPr>
      <w:spacing w:line="360" w:lineRule="auto"/>
    </w:pPr>
    <w:rPr>
      <w:rFonts w:ascii="仿宋_GB2312" w:hAnsi="Calibri" w:eastAsia="仿宋_GB2312" w:cs="仿宋_GB2312"/>
    </w:rPr>
  </w:style>
  <w:style w:type="paragraph" w:customStyle="1" w:styleId="77">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78">
    <w:name w:val="单倍无缩进"/>
    <w:basedOn w:val="1"/>
    <w:qFormat/>
    <w:uiPriority w:val="0"/>
    <w:rPr>
      <w:rFonts w:cs="宋体"/>
    </w:rPr>
  </w:style>
  <w:style w:type="paragraph" w:customStyle="1" w:styleId="79">
    <w:name w:val="合同正文"/>
    <w:qFormat/>
    <w:uiPriority w:val="0"/>
    <w:pPr>
      <w:adjustRightInd w:val="0"/>
      <w:snapToGrid w:val="0"/>
      <w:spacing w:line="300" w:lineRule="auto"/>
      <w:ind w:firstLine="200" w:firstLineChars="200"/>
    </w:pPr>
    <w:rPr>
      <w:rFonts w:ascii="仿宋" w:hAnsi="仿宋" w:eastAsia="宋体" w:cs="仿宋"/>
      <w:kern w:val="2"/>
      <w:sz w:val="21"/>
      <w:szCs w:val="21"/>
      <w:lang w:val="en-US" w:eastAsia="zh-CN" w:bidi="ar-SA"/>
    </w:rPr>
  </w:style>
  <w:style w:type="paragraph" w:customStyle="1" w:styleId="80">
    <w:name w:val="合同标题"/>
    <w:basedOn w:val="79"/>
    <w:qFormat/>
    <w:uiPriority w:val="0"/>
    <w:pPr>
      <w:outlineLvl w:val="1"/>
    </w:pPr>
    <w:rPr>
      <w:b/>
    </w:rPr>
  </w:style>
  <w:style w:type="paragraph" w:customStyle="1" w:styleId="81">
    <w:name w:val="合同标1"/>
    <w:basedOn w:val="79"/>
    <w:qFormat/>
    <w:uiPriority w:val="0"/>
    <w:pPr>
      <w:jc w:val="both"/>
      <w:outlineLvl w:val="1"/>
    </w:pPr>
    <w:rPr>
      <w:b/>
    </w:rPr>
  </w:style>
  <w:style w:type="paragraph" w:customStyle="1" w:styleId="82">
    <w:name w:val="Default"/>
    <w:next w:val="1"/>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3">
    <w:name w:val="样式 (西文) 宋体 自定义颜(RGB(131313)) 左侧:  0 厘米 行距: 固定值 22 磅 图案: 清除..."/>
    <w:basedOn w:val="1"/>
    <w:qFormat/>
    <w:uiPriority w:val="99"/>
    <w:pPr>
      <w:shd w:val="clear" w:color="auto" w:fill="FFFFFF"/>
    </w:pPr>
    <w:rPr>
      <w:rFonts w:cs="宋体"/>
      <w:color w:val="0D0D0D"/>
      <w:kern w:val="0"/>
    </w:rPr>
  </w:style>
  <w:style w:type="character" w:customStyle="1" w:styleId="84">
    <w:name w:val="批注文字 字符"/>
    <w:basedOn w:val="24"/>
    <w:link w:val="12"/>
    <w:qFormat/>
    <w:uiPriority w:val="0"/>
    <w:rPr>
      <w:rFonts w:ascii="宋体" w:hAnsi="宋体" w:cstheme="minorBidi"/>
      <w:kern w:val="2"/>
      <w:sz w:val="24"/>
      <w:szCs w:val="24"/>
    </w:rPr>
  </w:style>
  <w:style w:type="character" w:customStyle="1" w:styleId="85">
    <w:name w:val="批注主题 字符"/>
    <w:basedOn w:val="84"/>
    <w:link w:val="21"/>
    <w:qFormat/>
    <w:uiPriority w:val="0"/>
    <w:rPr>
      <w:rFonts w:ascii="宋体" w:hAnsi="宋体"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GIF"/><Relationship Id="rId25" Type="http://schemas.openxmlformats.org/officeDocument/2006/relationships/image" Target="media/image8.GIF"/><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7F5B3-C0E1-4E05-B8C3-4BEA665FE8E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115</Pages>
  <Words>11760</Words>
  <Characters>67035</Characters>
  <Lines>558</Lines>
  <Paragraphs>157</Paragraphs>
  <TotalTime>2</TotalTime>
  <ScaleCrop>false</ScaleCrop>
  <LinksUpToDate>false</LinksUpToDate>
  <CharactersWithSpaces>78638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2021-10-25T07:14:00Z</dcterms:created>
  <dc:creator>qxzb</dc:creator>
  <cp:lastModifiedBy>111</cp:lastModifiedBy>
  <cp:lastPrinted>2021-10-26T11:19:00Z</cp:lastPrinted>
  <dcterms:modified xsi:type="dcterms:W3CDTF">2021-10-26T12:52:20Z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1EFBE4A505DA435283A129E8CD44B93E</vt:lpwstr>
  </property>
</Properties>
</file>